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03366"/>
          <w:sz w:val="88"/>
        </w:rPr>
        <w:t>دراسة جدوى</w:t>
      </w:r>
    </w:p>
    <w:p/>
    <w:p>
      <w:pPr>
        <w:jc w:val="center"/>
      </w:pPr>
      <w:r>
        <w:rPr>
          <w:rFonts w:ascii="Arial" w:hAnsi="Arial" w:eastAsia="Arial"/>
          <w:b/>
          <w:color w:val="D4A853"/>
          <w:sz w:val="64"/>
        </w:rPr>
        <w:t>شركة إحياء الأصول غير المكتملة العقارية</w:t>
      </w:r>
    </w:p>
    <w:p/>
    <w:p>
      <w:pPr>
        <w:jc w:val="center"/>
      </w:pPr>
      <w:r>
        <w:rPr>
          <w:rFonts w:ascii="Arial" w:hAnsi="Arial" w:eastAsia="Arial"/>
          <w:b/>
          <w:sz w:val="36"/>
        </w:rPr>
        <w:t>شركة مساهمة مقفلة</w:t>
      </w:r>
    </w:p>
    <w:p/>
    <w:p>
      <w:pPr>
        <w:jc w:val="center"/>
      </w:pPr>
      <w:r>
        <w:rPr>
          <w:rFonts w:ascii="Arial" w:hAnsi="Arial" w:eastAsia="Arial"/>
          <w:color w:val="666666"/>
          <w:sz w:val="32"/>
        </w:rPr>
        <w:t>المملكة العربية السعودية</w:t>
      </w:r>
    </w:p>
    <w:p/>
    <w:p/>
    <w:p>
      <w:pPr>
        <w:jc w:val="center"/>
      </w:pPr>
      <w:r>
        <w:rPr>
          <w:rFonts w:ascii="Arial" w:hAnsi="Arial" w:eastAsia="Arial"/>
          <w:i/>
          <w:sz w:val="24"/>
        </w:rPr>
        <w:t>إعداد: Bonds Financial Management &amp; Consulting</w:t>
      </w:r>
    </w:p>
    <w:p>
      <w:pPr>
        <w:jc w:val="center"/>
      </w:pPr>
      <w:r>
        <w:rPr>
          <w:rFonts w:ascii="Arial" w:hAnsi="Arial" w:eastAsia="Arial"/>
          <w:i/>
          <w:sz w:val="24"/>
        </w:rPr>
        <w:t>يونيو 2026</w:t>
      </w:r>
    </w:p>
    <w:p/>
    <w:p>
      <w:pPr>
        <w:jc w:val="center"/>
      </w:pPr>
      <w:r>
        <w:rPr>
          <w:rFonts w:ascii="Arial" w:hAnsi="Arial" w:eastAsia="Arial"/>
          <w:b/>
          <w:color w:val="D4A853"/>
          <w:sz w:val="28"/>
        </w:rPr>
        <w:t>المستشار المالي</w:t>
      </w:r>
    </w:p>
    <w:p>
      <w:pPr>
        <w:jc w:val="center"/>
      </w:pPr>
      <w:r>
        <w:rPr>
          <w:rFonts w:ascii="Arial" w:hAnsi="Arial" w:eastAsia="Arial"/>
          <w:b/>
          <w:sz w:val="36"/>
        </w:rPr>
        <w:t>د. طلال بن حسن الزهراني</w:t>
      </w:r>
    </w:p>
    <w:p>
      <w:pPr>
        <w:jc w:val="center"/>
      </w:pPr>
      <w:r>
        <w:rPr>
          <w:rFonts w:ascii="Arial" w:hAnsi="Arial" w:eastAsia="Arial"/>
          <w:sz w:val="28"/>
        </w:rPr>
        <w:t>+966 56 756 6616</w:t>
      </w:r>
    </w:p>
    <w:p>
      <w:r>
        <w:br w:type="page"/>
      </w:r>
    </w:p>
    <w:p>
      <w:pPr>
        <w:pStyle w:val="Heading1"/>
        <w:jc w:val="right"/>
      </w:pPr>
      <w:r>
        <w:rPr>
          <w:rFonts w:ascii="Arial" w:hAnsi="Arial" w:eastAsia="Arial"/>
          <w:color w:val="003366"/>
        </w:rPr>
        <w:t>جدول المحتويات</w:t>
      </w:r>
    </w:p>
    <w:p>
      <w:pPr>
        <w:pStyle w:val="ListBullet"/>
        <w:jc w:val="right"/>
      </w:pPr>
      <w:r>
        <w:rPr>
          <w:rFonts w:ascii="Arial" w:hAnsi="Arial" w:eastAsia="Arial"/>
          <w:sz w:val="22"/>
        </w:rPr>
        <w:t>مقدمة: مناخ الاستثمار والقوة الشرائية</w:t>
      </w:r>
    </w:p>
    <w:p>
      <w:pPr>
        <w:pStyle w:val="ListBullet"/>
        <w:jc w:val="right"/>
      </w:pPr>
      <w:r>
        <w:rPr>
          <w:rFonts w:ascii="Arial" w:hAnsi="Arial" w:eastAsia="Arial"/>
          <w:sz w:val="22"/>
        </w:rPr>
        <w:t>1. الملخص التنفيذي</w:t>
      </w:r>
    </w:p>
    <w:p>
      <w:pPr>
        <w:pStyle w:val="ListBullet"/>
        <w:jc w:val="right"/>
      </w:pPr>
      <w:r>
        <w:rPr>
          <w:rFonts w:ascii="Arial" w:hAnsi="Arial" w:eastAsia="Arial"/>
          <w:sz w:val="22"/>
        </w:rPr>
        <w:t>2. نظرة عامة على المشروع</w:t>
      </w:r>
    </w:p>
    <w:p>
      <w:pPr>
        <w:pStyle w:val="ListBullet"/>
        <w:jc w:val="right"/>
      </w:pPr>
      <w:r>
        <w:rPr>
          <w:rFonts w:ascii="Arial" w:hAnsi="Arial" w:eastAsia="Arial"/>
          <w:sz w:val="22"/>
        </w:rPr>
        <w:t>3. تحليل السوق</w:t>
      </w:r>
    </w:p>
    <w:p>
      <w:pPr>
        <w:pStyle w:val="ListBullet"/>
        <w:jc w:val="right"/>
      </w:pPr>
      <w:r>
        <w:rPr>
          <w:rFonts w:ascii="Arial" w:hAnsi="Arial" w:eastAsia="Arial"/>
          <w:sz w:val="22"/>
        </w:rPr>
        <w:t>4. النموذج التجاري</w:t>
      </w:r>
    </w:p>
    <w:p>
      <w:pPr>
        <w:pStyle w:val="ListBullet"/>
        <w:jc w:val="right"/>
      </w:pPr>
      <w:r>
        <w:rPr>
          <w:rFonts w:ascii="Arial" w:hAnsi="Arial" w:eastAsia="Arial"/>
          <w:sz w:val="22"/>
        </w:rPr>
        <w:t>5. نموذج الأعمال المتكامل</w:t>
      </w:r>
    </w:p>
    <w:p>
      <w:pPr>
        <w:pStyle w:val="ListBullet"/>
        <w:jc w:val="right"/>
      </w:pPr>
      <w:r>
        <w:rPr>
          <w:rFonts w:ascii="Arial" w:hAnsi="Arial" w:eastAsia="Arial"/>
          <w:sz w:val="22"/>
        </w:rPr>
        <w:t>6. الهيكل التنظيمي والفريق</w:t>
      </w:r>
    </w:p>
    <w:p>
      <w:pPr>
        <w:pStyle w:val="ListBullet"/>
        <w:jc w:val="right"/>
      </w:pPr>
      <w:r>
        <w:rPr>
          <w:rFonts w:ascii="Arial" w:hAnsi="Arial" w:eastAsia="Arial"/>
          <w:sz w:val="22"/>
        </w:rPr>
        <w:t>7. الخطة التشغيلية</w:t>
      </w:r>
    </w:p>
    <w:p>
      <w:pPr>
        <w:pStyle w:val="ListBullet"/>
        <w:jc w:val="right"/>
      </w:pPr>
      <w:r>
        <w:rPr>
          <w:rFonts w:ascii="Arial" w:hAnsi="Arial" w:eastAsia="Arial"/>
          <w:sz w:val="22"/>
        </w:rPr>
        <w:t>8. الجداول المالية</w:t>
      </w:r>
    </w:p>
    <w:p>
      <w:pPr>
        <w:pStyle w:val="ListBullet"/>
        <w:jc w:val="right"/>
      </w:pPr>
      <w:r>
        <w:rPr>
          <w:rFonts w:ascii="Arial" w:hAnsi="Arial" w:eastAsia="Arial"/>
          <w:sz w:val="22"/>
        </w:rPr>
        <w:t>9. الجداول المالية التفصيلية</w:t>
      </w:r>
    </w:p>
    <w:p>
      <w:pPr>
        <w:pStyle w:val="ListBullet"/>
        <w:jc w:val="right"/>
      </w:pPr>
      <w:r>
        <w:rPr>
          <w:rFonts w:ascii="Arial" w:hAnsi="Arial" w:eastAsia="Arial"/>
          <w:sz w:val="22"/>
        </w:rPr>
        <w:t>10. تحليل التعادل والحساسية</w:t>
      </w:r>
    </w:p>
    <w:p>
      <w:pPr>
        <w:pStyle w:val="ListBullet"/>
        <w:jc w:val="right"/>
      </w:pPr>
      <w:r>
        <w:rPr>
          <w:rFonts w:ascii="Arial" w:hAnsi="Arial" w:eastAsia="Arial"/>
          <w:sz w:val="22"/>
        </w:rPr>
        <w:t>11. تحليل المخاطر والتحوطات</w:t>
      </w:r>
    </w:p>
    <w:p>
      <w:pPr>
        <w:pStyle w:val="ListBullet"/>
        <w:jc w:val="right"/>
      </w:pPr>
      <w:r>
        <w:rPr>
          <w:rFonts w:ascii="Arial" w:hAnsi="Arial" w:eastAsia="Arial"/>
          <w:sz w:val="22"/>
        </w:rPr>
        <w:t>12. السيناريوهات الثلاثة</w:t>
      </w:r>
    </w:p>
    <w:p>
      <w:pPr>
        <w:pStyle w:val="ListBullet"/>
        <w:jc w:val="right"/>
      </w:pPr>
      <w:r>
        <w:rPr>
          <w:rFonts w:ascii="Arial" w:hAnsi="Arial" w:eastAsia="Arial"/>
          <w:sz w:val="22"/>
        </w:rPr>
        <w:t>13. خطة التسويق والمبيعات</w:t>
      </w:r>
    </w:p>
    <w:p>
      <w:pPr>
        <w:pStyle w:val="ListBullet"/>
        <w:jc w:val="right"/>
      </w:pPr>
      <w:r>
        <w:rPr>
          <w:rFonts w:ascii="Arial" w:hAnsi="Arial" w:eastAsia="Arial"/>
          <w:sz w:val="22"/>
        </w:rPr>
        <w:t>14. خطة التشغيل والجودة</w:t>
      </w:r>
    </w:p>
    <w:p>
      <w:pPr>
        <w:pStyle w:val="ListBullet"/>
        <w:jc w:val="right"/>
      </w:pPr>
      <w:r>
        <w:rPr>
          <w:rFonts w:ascii="Arial" w:hAnsi="Arial" w:eastAsia="Arial"/>
          <w:sz w:val="22"/>
        </w:rPr>
        <w:t>15. الخاتمة والتوصيات</w:t>
      </w:r>
    </w:p>
    <w:p>
      <w:pPr>
        <w:pStyle w:val="ListBullet"/>
        <w:jc w:val="right"/>
      </w:pPr>
      <w:r>
        <w:rPr>
          <w:rFonts w:ascii="Arial" w:hAnsi="Arial" w:eastAsia="Arial"/>
          <w:sz w:val="22"/>
        </w:rPr>
        <w:t>16. إثراءات السوق</w:t>
      </w:r>
    </w:p>
    <w:p>
      <w:pPr>
        <w:pStyle w:val="ListBullet"/>
        <w:jc w:val="right"/>
      </w:pPr>
      <w:r>
        <w:rPr>
          <w:rFonts w:ascii="Arial" w:hAnsi="Arial" w:eastAsia="Arial"/>
          <w:sz w:val="22"/>
        </w:rPr>
        <w:t>17. المراجع والمصادر</w:t>
      </w:r>
    </w:p>
    <w:p>
      <w:pPr>
        <w:pStyle w:val="ListBullet"/>
        <w:jc w:val="right"/>
      </w:pPr>
      <w:r>
        <w:rPr>
          <w:rFonts w:ascii="Arial" w:hAnsi="Arial" w:eastAsia="Arial"/>
          <w:sz w:val="22"/>
        </w:rPr>
        <w:t>ملحق أ: تحليل استراتيجي مستقل</w:t>
      </w:r>
    </w:p>
    <w:p>
      <w:pPr>
        <w:pStyle w:val="ListBullet"/>
        <w:jc w:val="right"/>
      </w:pPr>
      <w:r>
        <w:rPr>
          <w:rFonts w:ascii="Arial" w:hAnsi="Arial" w:eastAsia="Arial"/>
          <w:sz w:val="22"/>
        </w:rPr>
        <w:t>ملحق ب: تقييم المستثمر</w:t>
      </w:r>
    </w:p>
    <w:p>
      <w:r>
        <w:br w:type="page"/>
      </w:r>
    </w:p>
    <w:p>
      <w:pPr>
        <w:pStyle w:val="Heading1"/>
        <w:jc w:val="right"/>
      </w:pPr>
      <w:r>
        <w:rPr>
          <w:rFonts w:ascii="Arial" w:hAnsi="Arial" w:eastAsia="Arial"/>
          <w:color w:val="003366"/>
        </w:rPr>
        <w:t>مقدمة: مناخ الاستثمار والقوة الشرائية</w:t>
      </w:r>
    </w:p>
    <w:p>
      <w:pPr>
        <w:jc w:val="right"/>
      </w:pPr>
      <w:r>
        <w:rPr>
          <w:rFonts w:ascii="Arial" w:hAnsi="Arial" w:eastAsia="Arial"/>
          <w:b w:val="0"/>
          <w:i w:val="0"/>
          <w:sz w:val="24"/>
        </w:rPr>
        <w:t>في ظل رؤية 2030، يشهد قطاع الاستثمار والتطوير العقاري في المملكة العربية السعودية تحولاً جذرياً. يعد القطاع من أكثر القطاعات حيوية ونضجاً في المنطقة، مدفوعاً بديناميكيات طلب حقيقية بدلاً من المضاربات العشوائية.</w:t>
      </w:r>
    </w:p>
    <w:p>
      <w:pPr>
        <w:jc w:val="right"/>
      </w:pPr>
      <w:r>
        <w:rPr>
          <w:rFonts w:ascii="Arial" w:hAnsi="Arial" w:eastAsia="Arial"/>
          <w:b w:val="0"/>
          <w:i w:val="0"/>
          <w:sz w:val="24"/>
        </w:rPr>
        <w:t>أُعدت هذه الدراسة بعناية فائقة بناءً على بيانات رسمية من البنك المركزي السعودي (ساما)، الهيئة العامة للعقار (REGA)، وزارة العدل، وتحليلات من Knight Frank و KAPSARC. الهدف هو تقديم رؤية واقعية للسوق تمكن المستثمرين ومالكي المباني من اتخاذ قرارات مستنيرة.</w:t>
      </w:r>
    </w:p>
    <w:p>
      <w:pPr>
        <w:pStyle w:val="Heading2"/>
        <w:jc w:val="right"/>
      </w:pPr>
      <w:r>
        <w:rPr>
          <w:rFonts w:ascii="Arial" w:hAnsi="Arial" w:eastAsia="Arial"/>
          <w:color w:val="D4A853"/>
        </w:rPr>
        <w:t>المؤشرات الرئيسية</w:t>
      </w:r>
    </w:p>
    <w:tbl>
      <w:tblPr>
        <w:tblStyle w:val="LightGrid-Accent1"/>
        <w:tblW w:type="auto" w:w="0"/>
        <w:jc w:val="right"/>
        <w:tblLook w:firstColumn="1" w:firstRow="1" w:lastColumn="0" w:lastRow="0" w:noHBand="0" w:noVBand="1" w:val="04A0"/>
      </w:tblPr>
      <w:tblGrid>
        <w:gridCol w:w="4320"/>
        <w:gridCol w:w="4320"/>
      </w:tblGrid>
      <w:tr>
        <w:tc>
          <w:tcPr>
            <w:tcW w:type="dxa" w:w="4320"/>
            <w:shd w:fill="0A0F1A"/>
          </w:tcPr>
          <w:p>
            <w:pPr>
              <w:jc w:val="right"/>
            </w:pPr>
            <w:r>
              <w:rPr>
                <w:rFonts w:ascii="Arial" w:hAnsi="Arial" w:eastAsia="Arial"/>
                <w:b/>
                <w:color w:val="FFFFFF"/>
              </w:rPr>
              <w:t>المؤشر</w:t>
            </w:r>
          </w:p>
        </w:tc>
        <w:tc>
          <w:tcPr>
            <w:tcW w:type="dxa" w:w="4320"/>
            <w:shd w:fill="0A0F1A"/>
          </w:tcPr>
          <w:p>
            <w:pPr>
              <w:jc w:val="right"/>
            </w:pPr>
            <w:r>
              <w:rPr>
                <w:rFonts w:ascii="Arial" w:hAnsi="Arial" w:eastAsia="Arial"/>
                <w:b/>
                <w:color w:val="FFFFFF"/>
              </w:rPr>
              <w:t>القيمة</w:t>
            </w:r>
          </w:p>
        </w:tc>
      </w:tr>
      <w:tr>
        <w:tc>
          <w:tcPr>
            <w:tcW w:type="dxa" w:w="4320"/>
          </w:tcPr>
          <w:p>
            <w:pPr>
              <w:jc w:val="right"/>
            </w:pPr>
            <w:r>
              <w:rPr>
                <w:rFonts w:ascii="Arial" w:hAnsi="Arial" w:eastAsia="Arial"/>
              </w:rPr>
              <w:t>العائد الإيجاري في الرياض</w:t>
            </w:r>
          </w:p>
        </w:tc>
        <w:tc>
          <w:tcPr>
            <w:tcW w:type="dxa" w:w="4320"/>
          </w:tcPr>
          <w:p>
            <w:pPr>
              <w:jc w:val="right"/>
            </w:pPr>
            <w:r>
              <w:rPr>
                <w:rFonts w:ascii="Arial" w:hAnsi="Arial" w:eastAsia="Arial"/>
              </w:rPr>
              <w:t>8.89%</w:t>
            </w:r>
          </w:p>
        </w:tc>
      </w:tr>
      <w:tr>
        <w:tc>
          <w:tcPr>
            <w:tcW w:type="dxa" w:w="4320"/>
          </w:tcPr>
          <w:p>
            <w:pPr>
              <w:jc w:val="right"/>
            </w:pPr>
            <w:r>
              <w:rPr>
                <w:rFonts w:ascii="Arial" w:hAnsi="Arial" w:eastAsia="Arial"/>
              </w:rPr>
              <w:t>العائد الإيجاري في جدة</w:t>
            </w:r>
          </w:p>
        </w:tc>
        <w:tc>
          <w:tcPr>
            <w:tcW w:type="dxa" w:w="4320"/>
          </w:tcPr>
          <w:p>
            <w:pPr>
              <w:jc w:val="right"/>
            </w:pPr>
            <w:r>
              <w:rPr>
                <w:rFonts w:ascii="Arial" w:hAnsi="Arial" w:eastAsia="Arial"/>
              </w:rPr>
              <w:t>7.89%</w:t>
            </w:r>
          </w:p>
        </w:tc>
      </w:tr>
      <w:tr>
        <w:tc>
          <w:tcPr>
            <w:tcW w:type="dxa" w:w="4320"/>
          </w:tcPr>
          <w:p>
            <w:pPr>
              <w:jc w:val="right"/>
            </w:pPr>
            <w:r>
              <w:rPr>
                <w:rFonts w:ascii="Arial" w:hAnsi="Arial" w:eastAsia="Arial"/>
              </w:rPr>
              <w:t>نمو الصفقات العقارية (2025)</w:t>
            </w:r>
          </w:p>
        </w:tc>
        <w:tc>
          <w:tcPr>
            <w:tcW w:type="dxa" w:w="4320"/>
          </w:tcPr>
          <w:p>
            <w:pPr>
              <w:jc w:val="right"/>
            </w:pPr>
            <w:r>
              <w:rPr>
                <w:rFonts w:ascii="Arial" w:hAnsi="Arial" w:eastAsia="Arial"/>
              </w:rPr>
              <w:t>+14.2%</w:t>
            </w:r>
          </w:p>
        </w:tc>
      </w:tr>
      <w:tr>
        <w:tc>
          <w:tcPr>
            <w:tcW w:type="dxa" w:w="4320"/>
          </w:tcPr>
          <w:p>
            <w:pPr>
              <w:jc w:val="right"/>
            </w:pPr>
            <w:r>
              <w:rPr>
                <w:rFonts w:ascii="Arial" w:hAnsi="Arial" w:eastAsia="Arial"/>
              </w:rPr>
              <w:t>حجم التمويل العقاري</w:t>
            </w:r>
          </w:p>
        </w:tc>
        <w:tc>
          <w:tcPr>
            <w:tcW w:type="dxa" w:w="4320"/>
          </w:tcPr>
          <w:p>
            <w:pPr>
              <w:jc w:val="right"/>
            </w:pPr>
            <w:r>
              <w:rPr>
                <w:rFonts w:ascii="Arial" w:hAnsi="Arial" w:eastAsia="Arial"/>
              </w:rPr>
              <w:t>730 مليار ريال</w:t>
            </w:r>
          </w:p>
        </w:tc>
      </w:tr>
      <w:tr>
        <w:tc>
          <w:tcPr>
            <w:tcW w:type="dxa" w:w="4320"/>
          </w:tcPr>
          <w:p>
            <w:pPr>
              <w:jc w:val="right"/>
            </w:pPr>
            <w:r>
              <w:rPr>
                <w:rFonts w:ascii="Arial" w:hAnsi="Arial" w:eastAsia="Arial"/>
              </w:rPr>
              <w:t>عائد رأس المال عند التخارج</w:t>
            </w:r>
          </w:p>
        </w:tc>
        <w:tc>
          <w:tcPr>
            <w:tcW w:type="dxa" w:w="4320"/>
          </w:tcPr>
          <w:p>
            <w:pPr>
              <w:jc w:val="right"/>
            </w:pPr>
            <w:r>
              <w:rPr>
                <w:rFonts w:ascii="Arial" w:hAnsi="Arial" w:eastAsia="Arial"/>
              </w:rPr>
              <w:t>2.5x - 4x</w:t>
            </w:r>
          </w:p>
        </w:tc>
      </w:tr>
    </w:tbl>
    <w:p>
      <w:pPr>
        <w:jc w:val="right"/>
      </w:pPr>
      <w:r>
        <w:rPr>
          <w:rFonts w:ascii="Arial" w:hAnsi="Arial" w:eastAsia="Arial"/>
          <w:b w:val="0"/>
          <w:i w:val="0"/>
          <w:sz w:val="24"/>
        </w:rPr>
        <w:t>بينما يمثل العائد الإيجاري دخلاً تشغيلياً سنوياً، فإن العائد الأساسي للمستثمر يأتي من مضاعفة رأس المال عند البيع الاستراتيجي بعد إحياء الأصول. على أفق 10 سنوات، يبلغ IRR المتوقع حوالي 18.5%، مع عائد رأسمالي 2.5x - 4x عند التخارج في السنوات 5-7.</w:t>
      </w:r>
    </w:p>
    <w:p>
      <w:pPr>
        <w:pStyle w:val="Heading2"/>
        <w:jc w:val="right"/>
      </w:pPr>
      <w:r>
        <w:rPr>
          <w:rFonts w:ascii="Arial" w:hAnsi="Arial" w:eastAsia="Arial"/>
          <w:color w:val="D4A853"/>
        </w:rPr>
        <w:t>محركات النمو</w:t>
      </w:r>
    </w:p>
    <w:p>
      <w:pPr>
        <w:pStyle w:val="ListBullet"/>
        <w:jc w:val="right"/>
      </w:pPr>
      <w:r>
        <w:rPr>
          <w:rFonts w:ascii="Arial" w:hAnsi="Arial" w:eastAsia="Arial"/>
          <w:sz w:val="22"/>
        </w:rPr>
        <w:t>المشاريع العملاقة مثل نيوم، البحر الأحمر، الدرعية، وروشن.</w:t>
      </w:r>
    </w:p>
    <w:p>
      <w:pPr>
        <w:pStyle w:val="ListBullet"/>
        <w:jc w:val="right"/>
      </w:pPr>
      <w:r>
        <w:rPr>
          <w:rFonts w:ascii="Arial" w:hAnsi="Arial" w:eastAsia="Arial"/>
          <w:sz w:val="22"/>
        </w:rPr>
        <w:t>برامج التمويل السكني "سكني" للوحدات المتوسطة (70-120 م²).</w:t>
      </w:r>
    </w:p>
    <w:p>
      <w:pPr>
        <w:pStyle w:val="ListBullet"/>
        <w:jc w:val="right"/>
      </w:pPr>
      <w:r>
        <w:rPr>
          <w:rFonts w:ascii="Arial" w:hAnsi="Arial" w:eastAsia="Arial"/>
          <w:sz w:val="22"/>
        </w:rPr>
        <w:t>نمو الرواتب والهجرة نحو المدن الكبرى.</w:t>
      </w:r>
    </w:p>
    <w:p>
      <w:pPr>
        <w:pStyle w:val="ListBullet"/>
        <w:jc w:val="right"/>
      </w:pPr>
      <w:r>
        <w:rPr>
          <w:rFonts w:ascii="Arial" w:hAnsi="Arial" w:eastAsia="Arial"/>
          <w:sz w:val="22"/>
        </w:rPr>
        <w:t>العوائد الإيجارية المستقرة والجاذبة.</w:t>
      </w:r>
    </w:p>
    <w:p>
      <w:r>
        <w:br w:type="page"/>
      </w:r>
    </w:p>
    <w:p>
      <w:pPr>
        <w:pStyle w:val="Heading1"/>
        <w:jc w:val="right"/>
      </w:pPr>
      <w:r>
        <w:rPr>
          <w:rFonts w:ascii="Arial" w:hAnsi="Arial" w:eastAsia="Arial"/>
          <w:color w:val="003366"/>
        </w:rPr>
        <w:t>1. الملخص التنفيذي</w:t>
      </w:r>
    </w:p>
    <w:p>
      <w:pPr>
        <w:pStyle w:val="Heading2"/>
        <w:jc w:val="right"/>
      </w:pPr>
      <w:r>
        <w:rPr>
          <w:rFonts w:ascii="Arial" w:hAnsi="Arial" w:eastAsia="Arial"/>
          <w:color w:val="D4A853"/>
        </w:rPr>
        <w:t>1.1 الفكرة الأساسية</w:t>
      </w:r>
    </w:p>
    <w:p>
      <w:pPr>
        <w:jc w:val="right"/>
      </w:pPr>
      <w:r>
        <w:rPr>
          <w:rFonts w:ascii="Arial" w:hAnsi="Arial" w:eastAsia="Arial"/>
          <w:b w:val="0"/>
          <w:i w:val="0"/>
          <w:sz w:val="24"/>
        </w:rPr>
        <w:t>تأسست شركة إحياء الأصول غير المكتملة العقارية على رؤية متمثلة في إحياء المباني غير المكتملة دون شراء أراضٍ. يقوم النموذج على عقود شراكة (محاصة) مع مالكي المباني، تتحمل فيها الشركة تكاليف التشطيب والتسويق والبيع، ثم تقاسم الأرباح مع المالك الأصلي.</w:t>
      </w:r>
    </w:p>
    <w:p>
      <w:pPr>
        <w:pStyle w:val="Heading2"/>
        <w:jc w:val="right"/>
      </w:pPr>
      <w:r>
        <w:rPr>
          <w:rFonts w:ascii="Arial" w:hAnsi="Arial" w:eastAsia="Arial"/>
          <w:color w:val="D4A853"/>
        </w:rPr>
        <w:t>نقاط القوة الرئيسية</w:t>
      </w:r>
    </w:p>
    <w:p>
      <w:pPr>
        <w:pStyle w:val="ListBullet"/>
        <w:jc w:val="right"/>
      </w:pPr>
      <w:r>
        <w:rPr>
          <w:rFonts w:ascii="Arial" w:hAnsi="Arial" w:eastAsia="Arial"/>
          <w:sz w:val="22"/>
        </w:rPr>
        <w:t>لا يتطلب شراء أراضٍ - مما يقلل مخاطر الدخول للسوق ورأس المال المطلوب.</w:t>
      </w:r>
    </w:p>
    <w:p>
      <w:pPr>
        <w:pStyle w:val="ListBullet"/>
        <w:jc w:val="right"/>
      </w:pPr>
      <w:r>
        <w:rPr>
          <w:rFonts w:ascii="Arial" w:hAnsi="Arial" w:eastAsia="Arial"/>
          <w:sz w:val="22"/>
        </w:rPr>
        <w:t>يحتوي السوق السعودي على آلاف المباني غير المكتملة.</w:t>
      </w:r>
    </w:p>
    <w:p>
      <w:pPr>
        <w:pStyle w:val="ListBullet"/>
        <w:jc w:val="right"/>
      </w:pPr>
      <w:r>
        <w:rPr>
          <w:rFonts w:ascii="Arial" w:hAnsi="Arial" w:eastAsia="Arial"/>
          <w:sz w:val="22"/>
        </w:rPr>
        <w:t>هوامش ربح صحية تتراوح بين 8-12% مقارنة بالتطوير العقاري التقليدي.</w:t>
      </w:r>
    </w:p>
    <w:p>
      <w:pPr>
        <w:pStyle w:val="ListBullet"/>
        <w:jc w:val="right"/>
      </w:pPr>
      <w:r>
        <w:rPr>
          <w:rFonts w:ascii="Arial" w:hAnsi="Arial" w:eastAsia="Arial"/>
          <w:sz w:val="22"/>
        </w:rPr>
        <w:t>السنة الأولى تأسيسية؛ تبدأ الإيرادات الحقيقية من السنة الثانية.</w:t>
      </w:r>
    </w:p>
    <w:p>
      <w:pPr>
        <w:pStyle w:val="ListBullet"/>
        <w:jc w:val="right"/>
      </w:pPr>
      <w:r>
        <w:rPr>
          <w:rFonts w:ascii="Arial" w:hAnsi="Arial" w:eastAsia="Arial"/>
          <w:sz w:val="22"/>
        </w:rPr>
        <w:t>رأس المال المطلوب فعلياً 25 مليون ريال فقط، مع سقف مرن يصل إلى 226 مليون ريال.</w:t>
      </w:r>
    </w:p>
    <w:p>
      <w:pPr>
        <w:pStyle w:val="ListBullet"/>
        <w:jc w:val="right"/>
      </w:pPr>
      <w:r>
        <w:rPr>
          <w:rFonts w:ascii="Arial" w:hAnsi="Arial" w:eastAsia="Arial"/>
          <w:sz w:val="22"/>
        </w:rPr>
        <w:t>القيمة الحقيقية تكمن في تراكم محفظة الأصول والعلامة التجارية والإيرادات المتكررة.</w:t>
      </w:r>
    </w:p>
    <w:p>
      <w:pPr>
        <w:pStyle w:val="ListBullet"/>
        <w:jc w:val="right"/>
      </w:pPr>
      <w:r>
        <w:rPr>
          <w:rFonts w:ascii="Arial" w:hAnsi="Arial" w:eastAsia="Arial"/>
          <w:sz w:val="22"/>
        </w:rPr>
        <w:t>العائد الأساسي يأتي من التخارج الاستراتيجي ورفع القيمة السوقية للشركة.</w:t>
      </w:r>
    </w:p>
    <w:p>
      <w:pPr>
        <w:pStyle w:val="Heading2"/>
        <w:jc w:val="right"/>
      </w:pPr>
      <w:r>
        <w:rPr>
          <w:rFonts w:ascii="Arial" w:hAnsi="Arial" w:eastAsia="Arial"/>
          <w:color w:val="D4A853"/>
        </w:rPr>
        <w:t>المؤشرات المالية الرئيسية</w:t>
      </w:r>
    </w:p>
    <w:tbl>
      <w:tblPr>
        <w:tblStyle w:val="LightGrid-Accent1"/>
        <w:tblW w:type="auto" w:w="0"/>
        <w:jc w:val="right"/>
        <w:tblLook w:firstColumn="1" w:firstRow="1" w:lastColumn="0" w:lastRow="0" w:noHBand="0" w:noVBand="1" w:val="04A0"/>
      </w:tblPr>
      <w:tblGrid>
        <w:gridCol w:w="4320"/>
        <w:gridCol w:w="4320"/>
      </w:tblGrid>
      <w:tr>
        <w:tc>
          <w:tcPr>
            <w:tcW w:type="dxa" w:w="4320"/>
            <w:shd w:fill="0A0F1A"/>
          </w:tcPr>
          <w:p>
            <w:pPr>
              <w:jc w:val="right"/>
            </w:pPr>
            <w:r>
              <w:rPr>
                <w:rFonts w:ascii="Arial" w:hAnsi="Arial" w:eastAsia="Arial"/>
                <w:b/>
                <w:color w:val="FFFFFF"/>
              </w:rPr>
              <w:t>المؤشر</w:t>
            </w:r>
          </w:p>
        </w:tc>
        <w:tc>
          <w:tcPr>
            <w:tcW w:type="dxa" w:w="4320"/>
            <w:shd w:fill="0A0F1A"/>
          </w:tcPr>
          <w:p>
            <w:pPr>
              <w:jc w:val="right"/>
            </w:pPr>
            <w:r>
              <w:rPr>
                <w:rFonts w:ascii="Arial" w:hAnsi="Arial" w:eastAsia="Arial"/>
                <w:b/>
                <w:color w:val="FFFFFF"/>
              </w:rPr>
              <w:t>القيمة</w:t>
            </w:r>
          </w:p>
        </w:tc>
      </w:tr>
      <w:tr>
        <w:tc>
          <w:tcPr>
            <w:tcW w:type="dxa" w:w="4320"/>
          </w:tcPr>
          <w:p>
            <w:pPr>
              <w:jc w:val="right"/>
            </w:pPr>
            <w:r>
              <w:rPr>
                <w:rFonts w:ascii="Arial" w:hAnsi="Arial" w:eastAsia="Arial"/>
              </w:rPr>
              <w:t>رأس المال المصرح</w:t>
            </w:r>
          </w:p>
        </w:tc>
        <w:tc>
          <w:tcPr>
            <w:tcW w:type="dxa" w:w="4320"/>
          </w:tcPr>
          <w:p>
            <w:pPr>
              <w:jc w:val="right"/>
            </w:pPr>
            <w:r>
              <w:rPr>
                <w:rFonts w:ascii="Arial" w:hAnsi="Arial" w:eastAsia="Arial"/>
              </w:rPr>
              <w:t>200,000,000 ريال</w:t>
            </w:r>
          </w:p>
        </w:tc>
      </w:tr>
      <w:tr>
        <w:tc>
          <w:tcPr>
            <w:tcW w:type="dxa" w:w="4320"/>
          </w:tcPr>
          <w:p>
            <w:pPr>
              <w:jc w:val="right"/>
            </w:pPr>
            <w:r>
              <w:rPr>
                <w:rFonts w:ascii="Arial" w:hAnsi="Arial" w:eastAsia="Arial"/>
              </w:rPr>
              <w:t>عدد الأسهم</w:t>
            </w:r>
          </w:p>
        </w:tc>
        <w:tc>
          <w:tcPr>
            <w:tcW w:type="dxa" w:w="4320"/>
          </w:tcPr>
          <w:p>
            <w:pPr>
              <w:jc w:val="right"/>
            </w:pPr>
            <w:r>
              <w:rPr>
                <w:rFonts w:ascii="Arial" w:hAnsi="Arial" w:eastAsia="Arial"/>
              </w:rPr>
              <w:t>40,000 سهم</w:t>
            </w:r>
          </w:p>
        </w:tc>
      </w:tr>
      <w:tr>
        <w:tc>
          <w:tcPr>
            <w:tcW w:type="dxa" w:w="4320"/>
          </w:tcPr>
          <w:p>
            <w:pPr>
              <w:jc w:val="right"/>
            </w:pPr>
            <w:r>
              <w:rPr>
                <w:rFonts w:ascii="Arial" w:hAnsi="Arial" w:eastAsia="Arial"/>
              </w:rPr>
              <w:t>القيمة الاسمية للسهم</w:t>
            </w:r>
          </w:p>
        </w:tc>
        <w:tc>
          <w:tcPr>
            <w:tcW w:type="dxa" w:w="4320"/>
          </w:tcPr>
          <w:p>
            <w:pPr>
              <w:jc w:val="right"/>
            </w:pPr>
            <w:r>
              <w:rPr>
                <w:rFonts w:ascii="Arial" w:hAnsi="Arial" w:eastAsia="Arial"/>
              </w:rPr>
              <w:t>5,000 ريال</w:t>
            </w:r>
          </w:p>
        </w:tc>
      </w:tr>
      <w:tr>
        <w:tc>
          <w:tcPr>
            <w:tcW w:type="dxa" w:w="4320"/>
          </w:tcPr>
          <w:p>
            <w:pPr>
              <w:jc w:val="right"/>
            </w:pPr>
            <w:r>
              <w:rPr>
                <w:rFonts w:ascii="Arial" w:hAnsi="Arial" w:eastAsia="Arial"/>
              </w:rPr>
              <w:t>القيمة الفعلية للسهم</w:t>
            </w:r>
          </w:p>
        </w:tc>
        <w:tc>
          <w:tcPr>
            <w:tcW w:type="dxa" w:w="4320"/>
          </w:tcPr>
          <w:p>
            <w:pPr>
              <w:jc w:val="right"/>
            </w:pPr>
            <w:r>
              <w:rPr>
                <w:rFonts w:ascii="Arial" w:hAnsi="Arial" w:eastAsia="Arial"/>
              </w:rPr>
              <w:t>5,650 ريال</w:t>
            </w:r>
          </w:p>
        </w:tc>
      </w:tr>
      <w:tr>
        <w:tc>
          <w:tcPr>
            <w:tcW w:type="dxa" w:w="4320"/>
          </w:tcPr>
          <w:p>
            <w:pPr>
              <w:jc w:val="right"/>
            </w:pPr>
            <w:r>
              <w:rPr>
                <w:rFonts w:ascii="Arial" w:hAnsi="Arial" w:eastAsia="Arial"/>
              </w:rPr>
              <w:t>إجمالي الاستثمار المستهدف</w:t>
            </w:r>
          </w:p>
        </w:tc>
        <w:tc>
          <w:tcPr>
            <w:tcW w:type="dxa" w:w="4320"/>
          </w:tcPr>
          <w:p>
            <w:pPr>
              <w:jc w:val="right"/>
            </w:pPr>
            <w:r>
              <w:rPr>
                <w:rFonts w:ascii="Arial" w:hAnsi="Arial" w:eastAsia="Arial"/>
              </w:rPr>
              <w:t>226,000,000 ريال</w:t>
            </w:r>
          </w:p>
        </w:tc>
      </w:tr>
      <w:tr>
        <w:tc>
          <w:tcPr>
            <w:tcW w:type="dxa" w:w="4320"/>
          </w:tcPr>
          <w:p>
            <w:pPr>
              <w:jc w:val="right"/>
            </w:pPr>
            <w:r>
              <w:rPr>
                <w:rFonts w:ascii="Arial" w:hAnsi="Arial" w:eastAsia="Arial"/>
              </w:rPr>
              <w:t>IRR المتوقع (10 سنوات)</w:t>
            </w:r>
          </w:p>
        </w:tc>
        <w:tc>
          <w:tcPr>
            <w:tcW w:type="dxa" w:w="4320"/>
          </w:tcPr>
          <w:p>
            <w:pPr>
              <w:jc w:val="right"/>
            </w:pPr>
            <w:r>
              <w:rPr>
                <w:rFonts w:ascii="Arial" w:hAnsi="Arial" w:eastAsia="Arial"/>
              </w:rPr>
              <w:t>18.5% - 20%</w:t>
            </w:r>
          </w:p>
        </w:tc>
      </w:tr>
      <w:tr>
        <w:tc>
          <w:tcPr>
            <w:tcW w:type="dxa" w:w="4320"/>
          </w:tcPr>
          <w:p>
            <w:pPr>
              <w:jc w:val="right"/>
            </w:pPr>
            <w:r>
              <w:rPr>
                <w:rFonts w:ascii="Arial" w:hAnsi="Arial" w:eastAsia="Arial"/>
              </w:rPr>
              <w:t>عائد رأس المال عند الخروج</w:t>
            </w:r>
          </w:p>
        </w:tc>
        <w:tc>
          <w:tcPr>
            <w:tcW w:type="dxa" w:w="4320"/>
          </w:tcPr>
          <w:p>
            <w:pPr>
              <w:jc w:val="right"/>
            </w:pPr>
            <w:r>
              <w:rPr>
                <w:rFonts w:ascii="Arial" w:hAnsi="Arial" w:eastAsia="Arial"/>
              </w:rPr>
              <w:t>2.5x - 4x</w:t>
            </w:r>
          </w:p>
        </w:tc>
      </w:tr>
      <w:tr>
        <w:tc>
          <w:tcPr>
            <w:tcW w:type="dxa" w:w="4320"/>
          </w:tcPr>
          <w:p>
            <w:pPr>
              <w:jc w:val="right"/>
            </w:pPr>
            <w:r>
              <w:rPr>
                <w:rFonts w:ascii="Arial" w:hAnsi="Arial" w:eastAsia="Arial"/>
              </w:rPr>
              <w:t>فترة استرداد رأس المال</w:t>
            </w:r>
          </w:p>
        </w:tc>
        <w:tc>
          <w:tcPr>
            <w:tcW w:type="dxa" w:w="4320"/>
          </w:tcPr>
          <w:p>
            <w:pPr>
              <w:jc w:val="right"/>
            </w:pPr>
            <w:r>
              <w:rPr>
                <w:rFonts w:ascii="Arial" w:hAnsi="Arial" w:eastAsia="Arial"/>
              </w:rPr>
              <w:t>6 سنوات</w:t>
            </w:r>
          </w:p>
        </w:tc>
      </w:tr>
    </w:tbl>
    <w:p>
      <w:r>
        <w:br w:type="page"/>
      </w:r>
    </w:p>
    <w:p>
      <w:pPr>
        <w:pStyle w:val="Heading1"/>
        <w:jc w:val="right"/>
      </w:pPr>
      <w:r>
        <w:rPr>
          <w:rFonts w:ascii="Arial" w:hAnsi="Arial" w:eastAsia="Arial"/>
          <w:color w:val="003366"/>
        </w:rPr>
        <w:t>2. نظرة عامة على المشروع</w:t>
      </w:r>
    </w:p>
    <w:p>
      <w:pPr>
        <w:pStyle w:val="Heading2"/>
        <w:jc w:val="right"/>
      </w:pPr>
      <w:r>
        <w:rPr>
          <w:rFonts w:ascii="Arial" w:hAnsi="Arial" w:eastAsia="Arial"/>
          <w:color w:val="D4A853"/>
        </w:rPr>
        <w:t>2.1 الشكل القانوني</w:t>
      </w:r>
    </w:p>
    <w:p>
      <w:pPr>
        <w:jc w:val="right"/>
      </w:pPr>
      <w:r>
        <w:rPr>
          <w:rFonts w:ascii="Arial" w:hAnsi="Arial" w:eastAsia="Arial"/>
          <w:b w:val="0"/>
          <w:i w:val="0"/>
          <w:sz w:val="24"/>
        </w:rPr>
        <w:t>شركة مساهمة مقفلة مرخصة من وزارة التجارة وهيئة العقار (REGA)، وفقاً لنظام الشركات السعودي. يتيح هذا الشكل جمع رأس المال من المساهمين المؤسسين مع الحفاظ على مرونة الإدارة وسرعة اتخاذ القرار.</w:t>
      </w:r>
    </w:p>
    <w:p>
      <w:pPr>
        <w:pStyle w:val="Heading2"/>
        <w:jc w:val="right"/>
      </w:pPr>
      <w:r>
        <w:rPr>
          <w:rFonts w:ascii="Arial" w:hAnsi="Arial" w:eastAsia="Arial"/>
          <w:color w:val="D4A853"/>
        </w:rPr>
        <w:t>2.2 هيكل رأس المال</w:t>
      </w:r>
    </w:p>
    <w:tbl>
      <w:tblPr>
        <w:tblStyle w:val="LightGrid-Accent1"/>
        <w:tblW w:type="auto" w:w="0"/>
        <w:jc w:val="right"/>
        <w:tblLook w:firstColumn="1" w:firstRow="1" w:lastColumn="0" w:lastRow="0" w:noHBand="0" w:noVBand="1" w:val="04A0"/>
      </w:tblPr>
      <w:tblGrid>
        <w:gridCol w:w="4320"/>
        <w:gridCol w:w="4320"/>
      </w:tblGrid>
      <w:tr>
        <w:tc>
          <w:tcPr>
            <w:tcW w:type="dxa" w:w="4320"/>
            <w:shd w:fill="0A0F1A"/>
          </w:tcPr>
          <w:p>
            <w:pPr>
              <w:jc w:val="right"/>
            </w:pPr>
            <w:r>
              <w:rPr>
                <w:rFonts w:ascii="Arial" w:hAnsi="Arial" w:eastAsia="Arial"/>
                <w:b/>
                <w:color w:val="FFFFFF"/>
              </w:rPr>
              <w:t>البند</w:t>
            </w:r>
          </w:p>
        </w:tc>
        <w:tc>
          <w:tcPr>
            <w:tcW w:type="dxa" w:w="4320"/>
            <w:shd w:fill="0A0F1A"/>
          </w:tcPr>
          <w:p>
            <w:pPr>
              <w:jc w:val="right"/>
            </w:pPr>
            <w:r>
              <w:rPr>
                <w:rFonts w:ascii="Arial" w:hAnsi="Arial" w:eastAsia="Arial"/>
                <w:b/>
                <w:color w:val="FFFFFF"/>
              </w:rPr>
              <w:t>المبلغ (ريال)</w:t>
            </w:r>
          </w:p>
        </w:tc>
      </w:tr>
      <w:tr>
        <w:tc>
          <w:tcPr>
            <w:tcW w:type="dxa" w:w="4320"/>
          </w:tcPr>
          <w:p>
            <w:pPr>
              <w:jc w:val="right"/>
            </w:pPr>
            <w:r>
              <w:rPr>
                <w:rFonts w:ascii="Arial" w:hAnsi="Arial" w:eastAsia="Arial"/>
              </w:rPr>
              <w:t>البند</w:t>
            </w:r>
          </w:p>
        </w:tc>
        <w:tc>
          <w:tcPr>
            <w:tcW w:type="dxa" w:w="4320"/>
          </w:tcPr>
          <w:p>
            <w:pPr>
              <w:jc w:val="right"/>
            </w:pPr>
            <w:r>
              <w:rPr>
                <w:rFonts w:ascii="Arial" w:hAnsi="Arial" w:eastAsia="Arial"/>
              </w:rPr>
              <w:t>المبلغ (ريال)</w:t>
            </w:r>
          </w:p>
        </w:tc>
      </w:tr>
      <w:tr>
        <w:tc>
          <w:tcPr>
            <w:tcW w:type="dxa" w:w="4320"/>
          </w:tcPr>
          <w:p>
            <w:pPr>
              <w:jc w:val="right"/>
            </w:pPr>
            <w:r>
              <w:rPr>
                <w:rFonts w:ascii="Arial" w:hAnsi="Arial" w:eastAsia="Arial"/>
              </w:rPr>
              <w:t>رأس المال المصرح</w:t>
            </w:r>
          </w:p>
        </w:tc>
        <w:tc>
          <w:tcPr>
            <w:tcW w:type="dxa" w:w="4320"/>
          </w:tcPr>
          <w:p>
            <w:pPr>
              <w:jc w:val="right"/>
            </w:pPr>
            <w:r>
              <w:rPr>
                <w:rFonts w:ascii="Arial" w:hAnsi="Arial" w:eastAsia="Arial"/>
              </w:rPr>
              <w:t>200,000,000</w:t>
            </w:r>
          </w:p>
        </w:tc>
      </w:tr>
      <w:tr>
        <w:tc>
          <w:tcPr>
            <w:tcW w:type="dxa" w:w="4320"/>
          </w:tcPr>
          <w:p>
            <w:pPr>
              <w:jc w:val="right"/>
            </w:pPr>
            <w:r>
              <w:rPr>
                <w:rFonts w:ascii="Arial" w:hAnsi="Arial" w:eastAsia="Arial"/>
              </w:rPr>
              <w:t>عدد الأسهم</w:t>
            </w:r>
          </w:p>
        </w:tc>
        <w:tc>
          <w:tcPr>
            <w:tcW w:type="dxa" w:w="4320"/>
          </w:tcPr>
          <w:p>
            <w:pPr>
              <w:jc w:val="right"/>
            </w:pPr>
            <w:r>
              <w:rPr>
                <w:rFonts w:ascii="Arial" w:hAnsi="Arial" w:eastAsia="Arial"/>
              </w:rPr>
              <w:t>40,000</w:t>
            </w:r>
          </w:p>
        </w:tc>
      </w:tr>
      <w:tr>
        <w:tc>
          <w:tcPr>
            <w:tcW w:type="dxa" w:w="4320"/>
          </w:tcPr>
          <w:p>
            <w:pPr>
              <w:jc w:val="right"/>
            </w:pPr>
            <w:r>
              <w:rPr>
                <w:rFonts w:ascii="Arial" w:hAnsi="Arial" w:eastAsia="Arial"/>
              </w:rPr>
              <w:t>القيمة الاسمية للسهم</w:t>
            </w:r>
          </w:p>
        </w:tc>
        <w:tc>
          <w:tcPr>
            <w:tcW w:type="dxa" w:w="4320"/>
          </w:tcPr>
          <w:p>
            <w:pPr>
              <w:jc w:val="right"/>
            </w:pPr>
            <w:r>
              <w:rPr>
                <w:rFonts w:ascii="Arial" w:hAnsi="Arial" w:eastAsia="Arial"/>
              </w:rPr>
              <w:t>5,000</w:t>
            </w:r>
          </w:p>
        </w:tc>
      </w:tr>
      <w:tr>
        <w:tc>
          <w:tcPr>
            <w:tcW w:type="dxa" w:w="4320"/>
          </w:tcPr>
          <w:p>
            <w:pPr>
              <w:jc w:val="right"/>
            </w:pPr>
            <w:r>
              <w:rPr>
                <w:rFonts w:ascii="Arial" w:hAnsi="Arial" w:eastAsia="Arial"/>
              </w:rPr>
              <w:t>القيمة الفعلية للسهم</w:t>
            </w:r>
          </w:p>
        </w:tc>
        <w:tc>
          <w:tcPr>
            <w:tcW w:type="dxa" w:w="4320"/>
          </w:tcPr>
          <w:p>
            <w:pPr>
              <w:jc w:val="right"/>
            </w:pPr>
            <w:r>
              <w:rPr>
                <w:rFonts w:ascii="Arial" w:hAnsi="Arial" w:eastAsia="Arial"/>
              </w:rPr>
              <w:t>5,650</w:t>
            </w:r>
          </w:p>
        </w:tc>
      </w:tr>
      <w:tr>
        <w:tc>
          <w:tcPr>
            <w:tcW w:type="dxa" w:w="4320"/>
          </w:tcPr>
          <w:p>
            <w:pPr>
              <w:jc w:val="right"/>
            </w:pPr>
            <w:r>
              <w:rPr>
                <w:rFonts w:ascii="Arial" w:hAnsi="Arial" w:eastAsia="Arial"/>
              </w:rPr>
              <w:t>علاوة الإصدار ومصاريف التأسيس</w:t>
            </w:r>
          </w:p>
        </w:tc>
        <w:tc>
          <w:tcPr>
            <w:tcW w:type="dxa" w:w="4320"/>
          </w:tcPr>
          <w:p>
            <w:pPr>
              <w:jc w:val="right"/>
            </w:pPr>
            <w:r>
              <w:rPr>
                <w:rFonts w:ascii="Arial" w:hAnsi="Arial" w:eastAsia="Arial"/>
              </w:rPr>
              <w:t>26,000,000</w:t>
            </w:r>
          </w:p>
        </w:tc>
      </w:tr>
      <w:tr>
        <w:tc>
          <w:tcPr>
            <w:tcW w:type="dxa" w:w="4320"/>
          </w:tcPr>
          <w:p>
            <w:pPr>
              <w:jc w:val="right"/>
            </w:pPr>
            <w:r>
              <w:rPr>
                <w:rFonts w:ascii="Arial" w:hAnsi="Arial" w:eastAsia="Arial"/>
              </w:rPr>
              <w:t>إجمالي الاستثمار المستهدف</w:t>
            </w:r>
          </w:p>
        </w:tc>
        <w:tc>
          <w:tcPr>
            <w:tcW w:type="dxa" w:w="4320"/>
          </w:tcPr>
          <w:p>
            <w:pPr>
              <w:jc w:val="right"/>
            </w:pPr>
            <w:r>
              <w:rPr>
                <w:rFonts w:ascii="Arial" w:hAnsi="Arial" w:eastAsia="Arial"/>
              </w:rPr>
              <w:t>226,000,000</w:t>
            </w:r>
          </w:p>
        </w:tc>
      </w:tr>
    </w:tbl>
    <w:p>
      <w:pPr>
        <w:pStyle w:val="Heading2"/>
        <w:jc w:val="right"/>
      </w:pPr>
      <w:r>
        <w:rPr>
          <w:rFonts w:ascii="Arial" w:hAnsi="Arial" w:eastAsia="Arial"/>
          <w:color w:val="D4A853"/>
        </w:rPr>
        <w:t>2.3 استخدامات رأس المال</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shd w:fill="0A0F1A"/>
          </w:tcPr>
          <w:p>
            <w:pPr>
              <w:jc w:val="right"/>
            </w:pPr>
            <w:r>
              <w:rPr>
                <w:rFonts w:ascii="Arial" w:hAnsi="Arial" w:eastAsia="Arial"/>
                <w:b/>
                <w:color w:val="FFFFFF"/>
              </w:rPr>
              <w:t>الاستخدام</w:t>
            </w:r>
          </w:p>
        </w:tc>
        <w:tc>
          <w:tcPr>
            <w:tcW w:type="dxa" w:w="2880"/>
            <w:shd w:fill="0A0F1A"/>
          </w:tcPr>
          <w:p>
            <w:pPr>
              <w:jc w:val="right"/>
            </w:pPr>
            <w:r>
              <w:rPr>
                <w:rFonts w:ascii="Arial" w:hAnsi="Arial" w:eastAsia="Arial"/>
                <w:b/>
                <w:color w:val="FFFFFF"/>
              </w:rPr>
              <w:t>المبلغ</w:t>
            </w:r>
          </w:p>
        </w:tc>
        <w:tc>
          <w:tcPr>
            <w:tcW w:type="dxa" w:w="2880"/>
            <w:shd w:fill="0A0F1A"/>
          </w:tcPr>
          <w:p>
            <w:pPr>
              <w:jc w:val="right"/>
            </w:pPr>
            <w:r>
              <w:rPr>
                <w:rFonts w:ascii="Arial" w:hAnsi="Arial" w:eastAsia="Arial"/>
                <w:b/>
                <w:color w:val="FFFFFF"/>
              </w:rPr>
              <w:t>النسبة</w:t>
            </w:r>
          </w:p>
        </w:tc>
      </w:tr>
      <w:tr>
        <w:tc>
          <w:tcPr>
            <w:tcW w:type="dxa" w:w="2880"/>
          </w:tcPr>
          <w:p>
            <w:pPr>
              <w:jc w:val="right"/>
            </w:pPr>
            <w:r>
              <w:rPr>
                <w:rFonts w:ascii="Arial" w:hAnsi="Arial" w:eastAsia="Arial"/>
              </w:rPr>
              <w:t>الاستخدام</w:t>
            </w:r>
          </w:p>
        </w:tc>
        <w:tc>
          <w:tcPr>
            <w:tcW w:type="dxa" w:w="2880"/>
          </w:tcPr>
          <w:p>
            <w:pPr>
              <w:jc w:val="right"/>
            </w:pPr>
            <w:r>
              <w:rPr>
                <w:rFonts w:ascii="Arial" w:hAnsi="Arial" w:eastAsia="Arial"/>
              </w:rPr>
              <w:t>المبلغ (مليون ريال)</w:t>
            </w:r>
          </w:p>
        </w:tc>
        <w:tc>
          <w:tcPr>
            <w:tcW w:type="dxa" w:w="2880"/>
          </w:tcPr>
          <w:p>
            <w:pPr>
              <w:jc w:val="right"/>
            </w:pPr>
            <w:r>
              <w:rPr>
                <w:rFonts w:ascii="Arial" w:hAnsi="Arial" w:eastAsia="Arial"/>
              </w:rPr>
              <w:t>النسبة</w:t>
            </w:r>
          </w:p>
        </w:tc>
      </w:tr>
      <w:tr>
        <w:tc>
          <w:tcPr>
            <w:tcW w:type="dxa" w:w="2880"/>
          </w:tcPr>
          <w:p>
            <w:pPr>
              <w:jc w:val="right"/>
            </w:pPr>
            <w:r>
              <w:rPr>
                <w:rFonts w:ascii="Arial" w:hAnsi="Arial" w:eastAsia="Arial"/>
              </w:rPr>
              <w:t>استثمارات في مشاريع (شراء + تشطيب)</w:t>
            </w:r>
          </w:p>
        </w:tc>
        <w:tc>
          <w:tcPr>
            <w:tcW w:type="dxa" w:w="2880"/>
          </w:tcPr>
          <w:p>
            <w:pPr>
              <w:jc w:val="right"/>
            </w:pPr>
            <w:r>
              <w:rPr>
                <w:rFonts w:ascii="Arial" w:hAnsi="Arial" w:eastAsia="Arial"/>
              </w:rPr>
              <w:t>150</w:t>
            </w:r>
          </w:p>
        </w:tc>
        <w:tc>
          <w:tcPr>
            <w:tcW w:type="dxa" w:w="2880"/>
          </w:tcPr>
          <w:p>
            <w:pPr>
              <w:jc w:val="right"/>
            </w:pPr>
            <w:r>
              <w:rPr>
                <w:rFonts w:ascii="Arial" w:hAnsi="Arial" w:eastAsia="Arial"/>
              </w:rPr>
              <w:t>66%</w:t>
            </w:r>
          </w:p>
        </w:tc>
      </w:tr>
      <w:tr>
        <w:tc>
          <w:tcPr>
            <w:tcW w:type="dxa" w:w="2880"/>
          </w:tcPr>
          <w:p>
            <w:pPr>
              <w:jc w:val="right"/>
            </w:pPr>
            <w:r>
              <w:rPr>
                <w:rFonts w:ascii="Arial" w:hAnsi="Arial" w:eastAsia="Arial"/>
              </w:rPr>
              <w:t>رأس المال العامل</w:t>
            </w:r>
          </w:p>
        </w:tc>
        <w:tc>
          <w:tcPr>
            <w:tcW w:type="dxa" w:w="2880"/>
          </w:tcPr>
          <w:p>
            <w:pPr>
              <w:jc w:val="right"/>
            </w:pPr>
            <w:r>
              <w:rPr>
                <w:rFonts w:ascii="Arial" w:hAnsi="Arial" w:eastAsia="Arial"/>
              </w:rPr>
              <w:t>40</w:t>
            </w:r>
          </w:p>
        </w:tc>
        <w:tc>
          <w:tcPr>
            <w:tcW w:type="dxa" w:w="2880"/>
          </w:tcPr>
          <w:p>
            <w:pPr>
              <w:jc w:val="right"/>
            </w:pPr>
            <w:r>
              <w:rPr>
                <w:rFonts w:ascii="Arial" w:hAnsi="Arial" w:eastAsia="Arial"/>
              </w:rPr>
              <w:t>18%</w:t>
            </w:r>
          </w:p>
        </w:tc>
      </w:tr>
      <w:tr>
        <w:tc>
          <w:tcPr>
            <w:tcW w:type="dxa" w:w="2880"/>
          </w:tcPr>
          <w:p>
            <w:pPr>
              <w:jc w:val="right"/>
            </w:pPr>
            <w:r>
              <w:rPr>
                <w:rFonts w:ascii="Arial" w:hAnsi="Arial" w:eastAsia="Arial"/>
              </w:rPr>
              <w:t>تكنولوجيا وأنظمة</w:t>
            </w:r>
          </w:p>
        </w:tc>
        <w:tc>
          <w:tcPr>
            <w:tcW w:type="dxa" w:w="2880"/>
          </w:tcPr>
          <w:p>
            <w:pPr>
              <w:jc w:val="right"/>
            </w:pPr>
            <w:r>
              <w:rPr>
                <w:rFonts w:ascii="Arial" w:hAnsi="Arial" w:eastAsia="Arial"/>
              </w:rPr>
              <w:t>10</w:t>
            </w:r>
          </w:p>
        </w:tc>
        <w:tc>
          <w:tcPr>
            <w:tcW w:type="dxa" w:w="2880"/>
          </w:tcPr>
          <w:p>
            <w:pPr>
              <w:jc w:val="right"/>
            </w:pPr>
            <w:r>
              <w:rPr>
                <w:rFonts w:ascii="Arial" w:hAnsi="Arial" w:eastAsia="Arial"/>
              </w:rPr>
              <w:t>4%</w:t>
            </w:r>
          </w:p>
        </w:tc>
      </w:tr>
      <w:tr>
        <w:tc>
          <w:tcPr>
            <w:tcW w:type="dxa" w:w="2880"/>
          </w:tcPr>
          <w:p>
            <w:pPr>
              <w:jc w:val="right"/>
            </w:pPr>
            <w:r>
              <w:rPr>
                <w:rFonts w:ascii="Arial" w:hAnsi="Arial" w:eastAsia="Arial"/>
              </w:rPr>
              <w:t>تأسيس وتسويق وعلاقات</w:t>
            </w:r>
          </w:p>
        </w:tc>
        <w:tc>
          <w:tcPr>
            <w:tcW w:type="dxa" w:w="2880"/>
          </w:tcPr>
          <w:p>
            <w:pPr>
              <w:jc w:val="right"/>
            </w:pPr>
            <w:r>
              <w:rPr>
                <w:rFonts w:ascii="Arial" w:hAnsi="Arial" w:eastAsia="Arial"/>
              </w:rPr>
              <w:t>15</w:t>
            </w:r>
          </w:p>
        </w:tc>
        <w:tc>
          <w:tcPr>
            <w:tcW w:type="dxa" w:w="2880"/>
          </w:tcPr>
          <w:p>
            <w:pPr>
              <w:jc w:val="right"/>
            </w:pPr>
            <w:r>
              <w:rPr>
                <w:rFonts w:ascii="Arial" w:hAnsi="Arial" w:eastAsia="Arial"/>
              </w:rPr>
              <w:t>7%</w:t>
            </w:r>
          </w:p>
        </w:tc>
      </w:tr>
      <w:tr>
        <w:tc>
          <w:tcPr>
            <w:tcW w:type="dxa" w:w="2880"/>
          </w:tcPr>
          <w:p>
            <w:pPr>
              <w:jc w:val="right"/>
            </w:pPr>
            <w:r>
              <w:rPr>
                <w:rFonts w:ascii="Arial" w:hAnsi="Arial" w:eastAsia="Arial"/>
              </w:rPr>
              <w:t>احتياطي سيولة طوارئ</w:t>
            </w:r>
          </w:p>
        </w:tc>
        <w:tc>
          <w:tcPr>
            <w:tcW w:type="dxa" w:w="2880"/>
          </w:tcPr>
          <w:p>
            <w:pPr>
              <w:jc w:val="right"/>
            </w:pPr>
            <w:r>
              <w:rPr>
                <w:rFonts w:ascii="Arial" w:hAnsi="Arial" w:eastAsia="Arial"/>
              </w:rPr>
              <w:t>11</w:t>
            </w:r>
          </w:p>
        </w:tc>
        <w:tc>
          <w:tcPr>
            <w:tcW w:type="dxa" w:w="2880"/>
          </w:tcPr>
          <w:p>
            <w:pPr>
              <w:jc w:val="right"/>
            </w:pPr>
            <w:r>
              <w:rPr>
                <w:rFonts w:ascii="Arial" w:hAnsi="Arial" w:eastAsia="Arial"/>
              </w:rPr>
              <w:t>5%</w:t>
            </w:r>
          </w:p>
        </w:tc>
      </w:tr>
    </w:tbl>
    <w:p>
      <w:pPr>
        <w:pStyle w:val="Heading2"/>
        <w:jc w:val="right"/>
      </w:pPr>
      <w:r>
        <w:rPr>
          <w:rFonts w:ascii="Arial" w:hAnsi="Arial" w:eastAsia="Arial"/>
          <w:color w:val="D4A853"/>
        </w:rPr>
        <w:t>2.4 آلية سحب رأس المال</w:t>
      </w:r>
    </w:p>
    <w:p>
      <w:pPr>
        <w:pStyle w:val="ListBullet"/>
        <w:jc w:val="right"/>
      </w:pPr>
      <w:r>
        <w:rPr>
          <w:rFonts w:ascii="Arial" w:hAnsi="Arial" w:eastAsia="Arial"/>
          <w:sz w:val="22"/>
        </w:rPr>
        <w:t>الدفعة الأولى (30%): التأسيس وشراء 3-5 مبانٍ أولى.</w:t>
      </w:r>
    </w:p>
    <w:p>
      <w:pPr>
        <w:pStyle w:val="ListBullet"/>
        <w:jc w:val="right"/>
      </w:pPr>
      <w:r>
        <w:rPr>
          <w:rFonts w:ascii="Arial" w:hAnsi="Arial" w:eastAsia="Arial"/>
          <w:sz w:val="22"/>
        </w:rPr>
        <w:t>الدفعة الثانية (30%): إنجاز أول مشروعين وتحقيق أولى الإيرادات.</w:t>
      </w:r>
    </w:p>
    <w:p>
      <w:pPr>
        <w:pStyle w:val="ListBullet"/>
        <w:jc w:val="right"/>
      </w:pPr>
      <w:r>
        <w:rPr>
          <w:rFonts w:ascii="Arial" w:hAnsi="Arial" w:eastAsia="Arial"/>
          <w:sz w:val="22"/>
        </w:rPr>
        <w:t>الدفعة الثالثة (25%): الوصول إلى 6 مشاريع نشطة وتحقيق التعادل التشغيلي.</w:t>
      </w:r>
    </w:p>
    <w:p>
      <w:pPr>
        <w:pStyle w:val="ListBullet"/>
        <w:jc w:val="right"/>
      </w:pPr>
      <w:r>
        <w:rPr>
          <w:rFonts w:ascii="Arial" w:hAnsi="Arial" w:eastAsia="Arial"/>
          <w:sz w:val="22"/>
        </w:rPr>
        <w:t>الدفعة الرابعة (15%): احتياطي مرن يُطلق حسب الحاجة أو يُعاد للمساهمين.</w:t>
      </w:r>
    </w:p>
    <w:p>
      <w:r>
        <w:br w:type="page"/>
      </w:r>
    </w:p>
    <w:p>
      <w:pPr>
        <w:pStyle w:val="Heading1"/>
        <w:jc w:val="right"/>
      </w:pPr>
      <w:r>
        <w:rPr>
          <w:rFonts w:ascii="Arial" w:hAnsi="Arial" w:eastAsia="Arial"/>
          <w:color w:val="003366"/>
        </w:rPr>
        <w:t>3. تحليل السوق</w:t>
      </w:r>
    </w:p>
    <w:p>
      <w:pPr>
        <w:jc w:val="right"/>
      </w:pPr>
      <w:r>
        <w:rPr>
          <w:rFonts w:ascii="Arial" w:hAnsi="Arial" w:eastAsia="Arial"/>
          <w:b w:val="0"/>
          <w:i w:val="0"/>
          <w:sz w:val="24"/>
        </w:rPr>
        <w:t>يشهد السوق العقاري السعودي تحولاً هيكلياً عميقاً. المدن الكبرى مثل الرياض وجدة تسجل عوائد إيجارية استثنائية مقارنة بالعواصم العالمية. الطلب على الوحدات الجاهزة يفوق العرض، مما يخلق فرصة كبيرة لإحياء الأصول غير المكتملة.</w:t>
      </w:r>
    </w:p>
    <w:p>
      <w:pPr>
        <w:pStyle w:val="Heading2"/>
        <w:jc w:val="right"/>
      </w:pPr>
      <w:r>
        <w:rPr>
          <w:rFonts w:ascii="Arial" w:hAnsi="Arial" w:eastAsia="Arial"/>
          <w:color w:val="D4A853"/>
        </w:rPr>
        <w:t>3.1 المناطق المستهدفة</w:t>
      </w:r>
    </w:p>
    <w:p>
      <w:pPr>
        <w:jc w:val="right"/>
      </w:pPr>
      <w:r>
        <w:rPr>
          <w:rFonts w:ascii="Arial" w:hAnsi="Arial" w:eastAsia="Arial"/>
          <w:b/>
          <w:i w:val="0"/>
          <w:sz w:val="24"/>
        </w:rPr>
        <w:t>الرياض:</w:t>
      </w:r>
    </w:p>
    <w:p>
      <w:pPr>
        <w:pStyle w:val="ListBullet"/>
        <w:jc w:val="right"/>
      </w:pPr>
      <w:r>
        <w:rPr>
          <w:rFonts w:ascii="Arial" w:hAnsi="Arial" w:eastAsia="Arial"/>
          <w:sz w:val="22"/>
        </w:rPr>
        <w:t>الشمال الفاخر: العقيق، حطين، الملقا - عوائد إيجارية مرتفعة وطلب تنفيذي.</w:t>
      </w:r>
    </w:p>
    <w:p>
      <w:pPr>
        <w:pStyle w:val="ListBullet"/>
        <w:jc w:val="right"/>
      </w:pPr>
      <w:r>
        <w:rPr>
          <w:rFonts w:ascii="Arial" w:hAnsi="Arial" w:eastAsia="Arial"/>
          <w:sz w:val="22"/>
        </w:rPr>
        <w:t>الشمال الشرقي: المونسية، الرمال، الياسمين، النرجس - كثافة سكانية عالية وبنية تحتية حديثة.</w:t>
      </w:r>
    </w:p>
    <w:p>
      <w:pPr>
        <w:jc w:val="right"/>
      </w:pPr>
      <w:r>
        <w:rPr>
          <w:rFonts w:ascii="Arial" w:hAnsi="Arial" w:eastAsia="Arial"/>
          <w:b/>
          <w:i w:val="0"/>
          <w:sz w:val="24"/>
        </w:rPr>
        <w:t>جدة:</w:t>
      </w:r>
    </w:p>
    <w:p>
      <w:pPr>
        <w:pStyle w:val="ListBullet"/>
        <w:jc w:val="right"/>
      </w:pPr>
      <w:r>
        <w:rPr>
          <w:rFonts w:ascii="Arial" w:hAnsi="Arial" w:eastAsia="Arial"/>
          <w:sz w:val="22"/>
        </w:rPr>
        <w:t>الساحل الشمالي: أبحر الشمالية، الصواري - إمكانية سكنية وسياحية طويلة المدى.</w:t>
      </w:r>
    </w:p>
    <w:p>
      <w:pPr>
        <w:pStyle w:val="ListBullet"/>
        <w:jc w:val="right"/>
      </w:pPr>
      <w:r>
        <w:rPr>
          <w:rFonts w:ascii="Arial" w:hAnsi="Arial" w:eastAsia="Arial"/>
          <w:sz w:val="22"/>
        </w:rPr>
        <w:t>الوسط الحيوي: الحمراء، النعيم، الزهراء، السلامة - عوائد إيجارية ثابتة.</w:t>
      </w:r>
    </w:p>
    <w:p>
      <w:pPr>
        <w:pStyle w:val="Heading2"/>
        <w:jc w:val="right"/>
      </w:pPr>
      <w:r>
        <w:rPr>
          <w:rFonts w:ascii="Arial" w:hAnsi="Arial" w:eastAsia="Arial"/>
          <w:color w:val="D4A853"/>
        </w:rPr>
        <w:t>3.2 الميزة التنافسية</w:t>
      </w:r>
    </w:p>
    <w:p>
      <w:pPr>
        <w:jc w:val="right"/>
      </w:pPr>
      <w:r>
        <w:rPr>
          <w:rFonts w:ascii="Arial" w:hAnsi="Arial" w:eastAsia="Arial"/>
          <w:b w:val="0"/>
          <w:i w:val="0"/>
          <w:sz w:val="24"/>
        </w:rPr>
        <w:t>المطورون التقليديون يتطلب نموذجهم شراء أراضٍ ورأس مال ضخم. ميزتنا تكمن في عدم الحاجة لشراء الأرض، والتركيز على الأصول غير المكتملة التي لا تجذب المطورين الكبار، مما يتيح سرعة تنفيذ وتكاليف أقل.</w:t>
      </w:r>
    </w:p>
    <w:p>
      <w:r>
        <w:br w:type="page"/>
      </w:r>
    </w:p>
    <w:p>
      <w:pPr>
        <w:pStyle w:val="Heading1"/>
        <w:jc w:val="right"/>
      </w:pPr>
      <w:r>
        <w:rPr>
          <w:rFonts w:ascii="Arial" w:hAnsi="Arial" w:eastAsia="Arial"/>
          <w:color w:val="003366"/>
        </w:rPr>
        <w:t>4. النموذج التجاري</w:t>
      </w:r>
    </w:p>
    <w:p>
      <w:pPr>
        <w:jc w:val="right"/>
      </w:pPr>
      <w:r>
        <w:rPr>
          <w:rFonts w:ascii="Arial" w:hAnsi="Arial" w:eastAsia="Arial"/>
          <w:b w:val="0"/>
          <w:i w:val="0"/>
          <w:sz w:val="24"/>
        </w:rPr>
        <w:t>تعمل الشركة بنموذج شراكة محاصة متوازن يجمع بين مصادر متعددة للإيرادات:</w:t>
      </w:r>
    </w:p>
    <w:p>
      <w:pPr>
        <w:pStyle w:val="Heading2"/>
        <w:jc w:val="right"/>
      </w:pPr>
      <w:r>
        <w:rPr>
          <w:rFonts w:ascii="Arial" w:hAnsi="Arial" w:eastAsia="Arial"/>
          <w:color w:val="D4A853"/>
        </w:rPr>
        <w:t>نماذج الشراكة</w:t>
      </w:r>
    </w:p>
    <w:tbl>
      <w:tblPr>
        <w:tblStyle w:val="LightGrid-Accent1"/>
        <w:tblW w:type="auto" w:w="0"/>
        <w:jc w:val="right"/>
        <w:tblLook w:firstColumn="1" w:firstRow="1" w:lastColumn="0" w:lastRow="0" w:noHBand="0" w:noVBand="1" w:val="04A0"/>
      </w:tblPr>
      <w:tblGrid>
        <w:gridCol w:w="4320"/>
        <w:gridCol w:w="4320"/>
      </w:tblGrid>
      <w:tr>
        <w:tc>
          <w:tcPr>
            <w:tcW w:type="dxa" w:w="4320"/>
            <w:shd w:fill="0A0F1A"/>
          </w:tcPr>
          <w:p>
            <w:pPr>
              <w:jc w:val="right"/>
            </w:pPr>
            <w:r>
              <w:rPr>
                <w:rFonts w:ascii="Arial" w:hAnsi="Arial" w:eastAsia="Arial"/>
                <w:b/>
                <w:color w:val="FFFFFF"/>
              </w:rPr>
              <w:t>النموذج</w:t>
            </w:r>
          </w:p>
        </w:tc>
        <w:tc>
          <w:tcPr>
            <w:tcW w:type="dxa" w:w="4320"/>
            <w:shd w:fill="0A0F1A"/>
          </w:tcPr>
          <w:p>
            <w:pPr>
              <w:jc w:val="right"/>
            </w:pPr>
            <w:r>
              <w:rPr>
                <w:rFonts w:ascii="Arial" w:hAnsi="Arial" w:eastAsia="Arial"/>
                <w:b/>
                <w:color w:val="FFFFFF"/>
              </w:rPr>
              <w:t>الوصف</w:t>
            </w:r>
          </w:p>
        </w:tc>
      </w:tr>
      <w:tr>
        <w:tc>
          <w:tcPr>
            <w:tcW w:type="dxa" w:w="4320"/>
          </w:tcPr>
          <w:p>
            <w:pPr>
              <w:jc w:val="right"/>
            </w:pPr>
            <w:r>
              <w:rPr>
                <w:rFonts w:ascii="Arial" w:hAnsi="Arial" w:eastAsia="Arial"/>
              </w:rPr>
              <w:t>النموذج</w:t>
            </w:r>
          </w:p>
        </w:tc>
        <w:tc>
          <w:tcPr>
            <w:tcW w:type="dxa" w:w="4320"/>
          </w:tcPr>
          <w:p>
            <w:pPr>
              <w:jc w:val="right"/>
            </w:pPr>
            <w:r>
              <w:rPr>
                <w:rFonts w:ascii="Arial" w:hAnsi="Arial" w:eastAsia="Arial"/>
              </w:rPr>
              <w:t>الوصف</w:t>
            </w:r>
          </w:p>
        </w:tc>
      </w:tr>
      <w:tr>
        <w:tc>
          <w:tcPr>
            <w:tcW w:type="dxa" w:w="4320"/>
          </w:tcPr>
          <w:p>
            <w:pPr>
              <w:jc w:val="right"/>
            </w:pPr>
            <w:r>
              <w:rPr>
                <w:rFonts w:ascii="Arial" w:hAnsi="Arial" w:eastAsia="Arial"/>
              </w:rPr>
              <w:t>المحاصة الكاملة</w:t>
            </w:r>
          </w:p>
        </w:tc>
        <w:tc>
          <w:tcPr>
            <w:tcW w:type="dxa" w:w="4320"/>
          </w:tcPr>
          <w:p>
            <w:pPr>
              <w:jc w:val="right"/>
            </w:pPr>
            <w:r>
              <w:rPr>
                <w:rFonts w:ascii="Arial" w:hAnsi="Arial" w:eastAsia="Arial"/>
              </w:rPr>
              <w:t>تتولى الشركة التشطيب والتسويق مقابل نسبة من الأرباح</w:t>
            </w:r>
          </w:p>
        </w:tc>
      </w:tr>
      <w:tr>
        <w:tc>
          <w:tcPr>
            <w:tcW w:type="dxa" w:w="4320"/>
          </w:tcPr>
          <w:p>
            <w:pPr>
              <w:jc w:val="right"/>
            </w:pPr>
            <w:r>
              <w:rPr>
                <w:rFonts w:ascii="Arial" w:hAnsi="Arial" w:eastAsia="Arial"/>
              </w:rPr>
              <w:t>الشراء الجزئي</w:t>
            </w:r>
          </w:p>
        </w:tc>
        <w:tc>
          <w:tcPr>
            <w:tcW w:type="dxa" w:w="4320"/>
          </w:tcPr>
          <w:p>
            <w:pPr>
              <w:jc w:val="right"/>
            </w:pPr>
            <w:r>
              <w:rPr>
                <w:rFonts w:ascii="Arial" w:hAnsi="Arial" w:eastAsia="Arial"/>
              </w:rPr>
              <w:t>تشتري الشركة جزءاً من الوحدات بعد التشطيب</w:t>
            </w:r>
          </w:p>
        </w:tc>
      </w:tr>
      <w:tr>
        <w:tc>
          <w:tcPr>
            <w:tcW w:type="dxa" w:w="4320"/>
          </w:tcPr>
          <w:p>
            <w:pPr>
              <w:jc w:val="right"/>
            </w:pPr>
            <w:r>
              <w:rPr>
                <w:rFonts w:ascii="Arial" w:hAnsi="Arial" w:eastAsia="Arial"/>
              </w:rPr>
              <w:t>رسوم الإدارة</w:t>
            </w:r>
          </w:p>
        </w:tc>
        <w:tc>
          <w:tcPr>
            <w:tcW w:type="dxa" w:w="4320"/>
          </w:tcPr>
          <w:p>
            <w:pPr>
              <w:jc w:val="right"/>
            </w:pPr>
            <w:r>
              <w:rPr>
                <w:rFonts w:ascii="Arial" w:hAnsi="Arial" w:eastAsia="Arial"/>
              </w:rPr>
              <w:t>رسوم ثابتة مقابل التشطيب والتسويق</w:t>
            </w:r>
          </w:p>
        </w:tc>
      </w:tr>
      <w:tr>
        <w:tc>
          <w:tcPr>
            <w:tcW w:type="dxa" w:w="4320"/>
          </w:tcPr>
          <w:p>
            <w:pPr>
              <w:jc w:val="right"/>
            </w:pPr>
            <w:r>
              <w:rPr>
                <w:rFonts w:ascii="Arial" w:hAnsi="Arial" w:eastAsia="Arial"/>
              </w:rPr>
              <w:t>النموذج المختلط</w:t>
            </w:r>
          </w:p>
        </w:tc>
        <w:tc>
          <w:tcPr>
            <w:tcW w:type="dxa" w:w="4320"/>
          </w:tcPr>
          <w:p>
            <w:pPr>
              <w:jc w:val="right"/>
            </w:pPr>
            <w:r>
              <w:rPr>
                <w:rFonts w:ascii="Arial" w:hAnsi="Arial" w:eastAsia="Arial"/>
              </w:rPr>
              <w:t>مزيج من المحاصة والشراء ورسوم الإدارة</w:t>
            </w:r>
          </w:p>
        </w:tc>
      </w:tr>
    </w:tbl>
    <w:p>
      <w:pPr>
        <w:pStyle w:val="Heading2"/>
        <w:jc w:val="right"/>
      </w:pPr>
      <w:r>
        <w:rPr>
          <w:rFonts w:ascii="Arial" w:hAnsi="Arial" w:eastAsia="Arial"/>
          <w:color w:val="D4A853"/>
        </w:rPr>
        <w:t>مصادر الإيرادات</w:t>
      </w:r>
    </w:p>
    <w:tbl>
      <w:tblPr>
        <w:tblStyle w:val="LightGrid-Accent1"/>
        <w:tblW w:type="auto" w:w="0"/>
        <w:jc w:val="right"/>
        <w:tblLook w:firstColumn="1" w:firstRow="1" w:lastColumn="0" w:lastRow="0" w:noHBand="0" w:noVBand="1" w:val="04A0"/>
      </w:tblPr>
      <w:tblGrid>
        <w:gridCol w:w="4320"/>
        <w:gridCol w:w="4320"/>
      </w:tblGrid>
      <w:tr>
        <w:tc>
          <w:tcPr>
            <w:tcW w:type="dxa" w:w="4320"/>
            <w:shd w:fill="0A0F1A"/>
          </w:tcPr>
          <w:p>
            <w:pPr>
              <w:jc w:val="right"/>
            </w:pPr>
            <w:r>
              <w:rPr>
                <w:rFonts w:ascii="Arial" w:hAnsi="Arial" w:eastAsia="Arial"/>
                <w:b/>
                <w:color w:val="FFFFFF"/>
              </w:rPr>
              <w:t>مصدر الإيراد</w:t>
            </w:r>
          </w:p>
        </w:tc>
        <w:tc>
          <w:tcPr>
            <w:tcW w:type="dxa" w:w="4320"/>
            <w:shd w:fill="0A0F1A"/>
          </w:tcPr>
          <w:p>
            <w:pPr>
              <w:jc w:val="right"/>
            </w:pPr>
            <w:r>
              <w:rPr>
                <w:rFonts w:ascii="Arial" w:hAnsi="Arial" w:eastAsia="Arial"/>
                <w:b/>
                <w:color w:val="FFFFFF"/>
              </w:rPr>
              <w:t>النسبة</w:t>
            </w:r>
          </w:p>
        </w:tc>
      </w:tr>
      <w:tr>
        <w:tc>
          <w:tcPr>
            <w:tcW w:type="dxa" w:w="4320"/>
          </w:tcPr>
          <w:p>
            <w:pPr>
              <w:jc w:val="right"/>
            </w:pPr>
            <w:r>
              <w:rPr>
                <w:rFonts w:ascii="Arial" w:hAnsi="Arial" w:eastAsia="Arial"/>
              </w:rPr>
              <w:t>مصدر الإيراد</w:t>
            </w:r>
          </w:p>
        </w:tc>
        <w:tc>
          <w:tcPr>
            <w:tcW w:type="dxa" w:w="4320"/>
          </w:tcPr>
          <w:p>
            <w:pPr>
              <w:jc w:val="right"/>
            </w:pPr>
            <w:r>
              <w:rPr>
                <w:rFonts w:ascii="Arial" w:hAnsi="Arial" w:eastAsia="Arial"/>
              </w:rPr>
              <w:t>النسبة المتوقعة</w:t>
            </w:r>
          </w:p>
        </w:tc>
      </w:tr>
      <w:tr>
        <w:tc>
          <w:tcPr>
            <w:tcW w:type="dxa" w:w="4320"/>
          </w:tcPr>
          <w:p>
            <w:pPr>
              <w:jc w:val="right"/>
            </w:pPr>
            <w:r>
              <w:rPr>
                <w:rFonts w:ascii="Arial" w:hAnsi="Arial" w:eastAsia="Arial"/>
              </w:rPr>
              <w:t>إيرادات المحاصة</w:t>
            </w:r>
          </w:p>
        </w:tc>
        <w:tc>
          <w:tcPr>
            <w:tcW w:type="dxa" w:w="4320"/>
          </w:tcPr>
          <w:p>
            <w:pPr>
              <w:jc w:val="right"/>
            </w:pPr>
            <w:r>
              <w:rPr>
                <w:rFonts w:ascii="Arial" w:hAnsi="Arial" w:eastAsia="Arial"/>
              </w:rPr>
              <w:t>60%</w:t>
            </w:r>
          </w:p>
        </w:tc>
      </w:tr>
      <w:tr>
        <w:tc>
          <w:tcPr>
            <w:tcW w:type="dxa" w:w="4320"/>
          </w:tcPr>
          <w:p>
            <w:pPr>
              <w:jc w:val="right"/>
            </w:pPr>
            <w:r>
              <w:rPr>
                <w:rFonts w:ascii="Arial" w:hAnsi="Arial" w:eastAsia="Arial"/>
              </w:rPr>
              <w:t>أرباح إعادة البيع</w:t>
            </w:r>
          </w:p>
        </w:tc>
        <w:tc>
          <w:tcPr>
            <w:tcW w:type="dxa" w:w="4320"/>
          </w:tcPr>
          <w:p>
            <w:pPr>
              <w:jc w:val="right"/>
            </w:pPr>
            <w:r>
              <w:rPr>
                <w:rFonts w:ascii="Arial" w:hAnsi="Arial" w:eastAsia="Arial"/>
              </w:rPr>
              <w:t>25%</w:t>
            </w:r>
          </w:p>
        </w:tc>
      </w:tr>
      <w:tr>
        <w:tc>
          <w:tcPr>
            <w:tcW w:type="dxa" w:w="4320"/>
          </w:tcPr>
          <w:p>
            <w:pPr>
              <w:jc w:val="right"/>
            </w:pPr>
            <w:r>
              <w:rPr>
                <w:rFonts w:ascii="Arial" w:hAnsi="Arial" w:eastAsia="Arial"/>
              </w:rPr>
              <w:t>رسوم الإدارة</w:t>
            </w:r>
          </w:p>
        </w:tc>
        <w:tc>
          <w:tcPr>
            <w:tcW w:type="dxa" w:w="4320"/>
          </w:tcPr>
          <w:p>
            <w:pPr>
              <w:jc w:val="right"/>
            </w:pPr>
            <w:r>
              <w:rPr>
                <w:rFonts w:ascii="Arial" w:hAnsi="Arial" w:eastAsia="Arial"/>
              </w:rPr>
              <w:t>10%</w:t>
            </w:r>
          </w:p>
        </w:tc>
      </w:tr>
      <w:tr>
        <w:tc>
          <w:tcPr>
            <w:tcW w:type="dxa" w:w="4320"/>
          </w:tcPr>
          <w:p>
            <w:pPr>
              <w:jc w:val="right"/>
            </w:pPr>
            <w:r>
              <w:rPr>
                <w:rFonts w:ascii="Arial" w:hAnsi="Arial" w:eastAsia="Arial"/>
              </w:rPr>
              <w:t>خدمات استشارية</w:t>
            </w:r>
          </w:p>
        </w:tc>
        <w:tc>
          <w:tcPr>
            <w:tcW w:type="dxa" w:w="4320"/>
          </w:tcPr>
          <w:p>
            <w:pPr>
              <w:jc w:val="right"/>
            </w:pPr>
            <w:r>
              <w:rPr>
                <w:rFonts w:ascii="Arial" w:hAnsi="Arial" w:eastAsia="Arial"/>
              </w:rPr>
              <w:t>5%</w:t>
            </w:r>
          </w:p>
        </w:tc>
      </w:tr>
    </w:tbl>
    <w:p>
      <w:r>
        <w:br w:type="page"/>
      </w:r>
    </w:p>
    <w:p>
      <w:pPr>
        <w:pStyle w:val="Heading1"/>
        <w:jc w:val="right"/>
      </w:pPr>
      <w:r>
        <w:rPr>
          <w:rFonts w:ascii="Arial" w:hAnsi="Arial" w:eastAsia="Arial"/>
          <w:color w:val="003366"/>
        </w:rPr>
        <w:t>5. النموذج المتكامل للأعمال</w:t>
      </w:r>
    </w:p>
    <w:p>
      <w:pPr>
        <w:jc w:val="right"/>
      </w:pPr>
      <w:r>
        <w:rPr>
          <w:rFonts w:ascii="Arial" w:hAnsi="Arial" w:eastAsia="Arial"/>
          <w:b w:val="0"/>
          <w:i w:val="0"/>
          <w:sz w:val="24"/>
        </w:rPr>
        <w:t>يجمع النموذج المتكامل بين مصادر الإيرادات المتعددة وكفاءة التكاليف لخلق عملية مستدامة وقابلة للتوسع. من خلال الاستفادة من التقنية والشبكات المهنية والعمليات الموحدة، يمكن للشركة تكرار النجاح عبر مشاريع متعددة.</w:t>
      </w:r>
    </w:p>
    <w:p>
      <w:pPr>
        <w:pStyle w:val="ListBullet"/>
        <w:jc w:val="right"/>
      </w:pPr>
      <w:r>
        <w:rPr>
          <w:rFonts w:ascii="Arial" w:hAnsi="Arial" w:eastAsia="Arial"/>
          <w:sz w:val="22"/>
        </w:rPr>
        <w:t>تقييم مركزي للمشاريع ومراجعة قانونية.</w:t>
      </w:r>
    </w:p>
    <w:p>
      <w:pPr>
        <w:pStyle w:val="ListBullet"/>
        <w:jc w:val="right"/>
      </w:pPr>
      <w:r>
        <w:rPr>
          <w:rFonts w:ascii="Arial" w:hAnsi="Arial" w:eastAsia="Arial"/>
          <w:sz w:val="22"/>
        </w:rPr>
        <w:t>مواصفات تشطيب موحدة وإدارة مقاولين منظمة.</w:t>
      </w:r>
    </w:p>
    <w:p>
      <w:pPr>
        <w:pStyle w:val="ListBullet"/>
        <w:jc w:val="right"/>
      </w:pPr>
      <w:r>
        <w:rPr>
          <w:rFonts w:ascii="Arial" w:hAnsi="Arial" w:eastAsia="Arial"/>
          <w:sz w:val="22"/>
        </w:rPr>
        <w:t>منصة تسويق ومبيعات موحدة.</w:t>
      </w:r>
    </w:p>
    <w:p>
      <w:pPr>
        <w:pStyle w:val="ListBullet"/>
        <w:jc w:val="right"/>
      </w:pPr>
      <w:r>
        <w:rPr>
          <w:rFonts w:ascii="Arial" w:hAnsi="Arial" w:eastAsia="Arial"/>
          <w:sz w:val="22"/>
        </w:rPr>
        <w:t>اختيار الأصول وتسعيرها بناءً على البيانات.</w:t>
      </w:r>
    </w:p>
    <w:p>
      <w:r>
        <w:br w:type="page"/>
      </w:r>
    </w:p>
    <w:p>
      <w:pPr>
        <w:pStyle w:val="Heading1"/>
        <w:jc w:val="right"/>
      </w:pPr>
      <w:r>
        <w:rPr>
          <w:rFonts w:ascii="Arial" w:hAnsi="Arial" w:eastAsia="Arial"/>
          <w:color w:val="003366"/>
        </w:rPr>
        <w:t>6. الهيكل التنظيمي والفريق</w:t>
      </w:r>
    </w:p>
    <w:p>
      <w:pPr>
        <w:jc w:val="right"/>
      </w:pPr>
      <w:r>
        <w:rPr>
          <w:rFonts w:ascii="Arial" w:hAnsi="Arial" w:eastAsia="Arial"/>
          <w:b w:val="0"/>
          <w:i w:val="0"/>
          <w:sz w:val="24"/>
        </w:rPr>
        <w:t>تم تصميم الهيكل الإداري ليكون مرناً وفعالاً، مع بدء تشغيلي يعتمد على 15 موظفاً في السنوات الأولى.</w:t>
      </w:r>
    </w:p>
    <w:p>
      <w:pPr>
        <w:pStyle w:val="Heading2"/>
        <w:jc w:val="right"/>
      </w:pPr>
      <w:r>
        <w:rPr>
          <w:rFonts w:ascii="Arial" w:hAnsi="Arial" w:eastAsia="Arial"/>
          <w:color w:val="D4A853"/>
        </w:rPr>
        <w:t>الأدوار الرئيسية</w:t>
      </w:r>
    </w:p>
    <w:tbl>
      <w:tblPr>
        <w:tblStyle w:val="LightGrid-Accent1"/>
        <w:tblW w:type="auto" w:w="0"/>
        <w:jc w:val="right"/>
        <w:tblLook w:firstColumn="1" w:firstRow="1" w:lastColumn="0" w:lastRow="0" w:noHBand="0" w:noVBand="1" w:val="04A0"/>
      </w:tblPr>
      <w:tblGrid>
        <w:gridCol w:w="4320"/>
        <w:gridCol w:w="4320"/>
      </w:tblGrid>
      <w:tr>
        <w:tc>
          <w:tcPr>
            <w:tcW w:type="dxa" w:w="4320"/>
            <w:shd w:fill="0A0F1A"/>
          </w:tcPr>
          <w:p>
            <w:pPr>
              <w:jc w:val="right"/>
            </w:pPr>
            <w:r>
              <w:rPr>
                <w:rFonts w:ascii="Arial" w:hAnsi="Arial" w:eastAsia="Arial"/>
                <w:b/>
                <w:color w:val="FFFFFF"/>
              </w:rPr>
              <w:t>الدور</w:t>
            </w:r>
          </w:p>
        </w:tc>
        <w:tc>
          <w:tcPr>
            <w:tcW w:type="dxa" w:w="4320"/>
            <w:shd w:fill="0A0F1A"/>
          </w:tcPr>
          <w:p>
            <w:pPr>
              <w:jc w:val="right"/>
            </w:pPr>
            <w:r>
              <w:rPr>
                <w:rFonts w:ascii="Arial" w:hAnsi="Arial" w:eastAsia="Arial"/>
                <w:b/>
                <w:color w:val="FFFFFF"/>
              </w:rPr>
              <w:t>المسؤوليات</w:t>
            </w:r>
          </w:p>
        </w:tc>
      </w:tr>
      <w:tr>
        <w:tc>
          <w:tcPr>
            <w:tcW w:type="dxa" w:w="4320"/>
          </w:tcPr>
          <w:p>
            <w:pPr>
              <w:jc w:val="right"/>
            </w:pPr>
            <w:r>
              <w:rPr>
                <w:rFonts w:ascii="Arial" w:hAnsi="Arial" w:eastAsia="Arial"/>
              </w:rPr>
              <w:t>الدور</w:t>
            </w:r>
          </w:p>
        </w:tc>
        <w:tc>
          <w:tcPr>
            <w:tcW w:type="dxa" w:w="4320"/>
          </w:tcPr>
          <w:p>
            <w:pPr>
              <w:jc w:val="right"/>
            </w:pPr>
            <w:r>
              <w:rPr>
                <w:rFonts w:ascii="Arial" w:hAnsi="Arial" w:eastAsia="Arial"/>
              </w:rPr>
              <w:t>المسؤوليات</w:t>
            </w:r>
          </w:p>
        </w:tc>
      </w:tr>
      <w:tr>
        <w:tc>
          <w:tcPr>
            <w:tcW w:type="dxa" w:w="4320"/>
          </w:tcPr>
          <w:p>
            <w:pPr>
              <w:jc w:val="right"/>
            </w:pPr>
            <w:r>
              <w:rPr>
                <w:rFonts w:ascii="Arial" w:hAnsi="Arial" w:eastAsia="Arial"/>
              </w:rPr>
              <w:t>الرئيس التنفيذي</w:t>
            </w:r>
          </w:p>
        </w:tc>
        <w:tc>
          <w:tcPr>
            <w:tcW w:type="dxa" w:w="4320"/>
          </w:tcPr>
          <w:p>
            <w:pPr>
              <w:jc w:val="right"/>
            </w:pPr>
            <w:r>
              <w:rPr>
                <w:rFonts w:ascii="Arial" w:hAnsi="Arial" w:eastAsia="Arial"/>
              </w:rPr>
              <w:t>الاستراتيجية، علاقات المستثمرين، القرارات الكبرى</w:t>
            </w:r>
          </w:p>
        </w:tc>
      </w:tr>
      <w:tr>
        <w:tc>
          <w:tcPr>
            <w:tcW w:type="dxa" w:w="4320"/>
          </w:tcPr>
          <w:p>
            <w:pPr>
              <w:jc w:val="right"/>
            </w:pPr>
            <w:r>
              <w:rPr>
                <w:rFonts w:ascii="Arial" w:hAnsi="Arial" w:eastAsia="Arial"/>
              </w:rPr>
              <w:t>المدير التشغيلي</w:t>
            </w:r>
          </w:p>
        </w:tc>
        <w:tc>
          <w:tcPr>
            <w:tcW w:type="dxa" w:w="4320"/>
          </w:tcPr>
          <w:p>
            <w:pPr>
              <w:jc w:val="right"/>
            </w:pPr>
            <w:r>
              <w:rPr>
                <w:rFonts w:ascii="Arial" w:hAnsi="Arial" w:eastAsia="Arial"/>
              </w:rPr>
              <w:t>إدارة المشاريع، التنسيق مع المقاولين، ضمان الجودة</w:t>
            </w:r>
          </w:p>
        </w:tc>
      </w:tr>
      <w:tr>
        <w:tc>
          <w:tcPr>
            <w:tcW w:type="dxa" w:w="4320"/>
          </w:tcPr>
          <w:p>
            <w:pPr>
              <w:jc w:val="right"/>
            </w:pPr>
            <w:r>
              <w:rPr>
                <w:rFonts w:ascii="Arial" w:hAnsi="Arial" w:eastAsia="Arial"/>
              </w:rPr>
              <w:t>المدير المالي</w:t>
            </w:r>
          </w:p>
        </w:tc>
        <w:tc>
          <w:tcPr>
            <w:tcW w:type="dxa" w:w="4320"/>
          </w:tcPr>
          <w:p>
            <w:pPr>
              <w:jc w:val="right"/>
            </w:pPr>
            <w:r>
              <w:rPr>
                <w:rFonts w:ascii="Arial" w:hAnsi="Arial" w:eastAsia="Arial"/>
              </w:rPr>
              <w:t>التدفقات النقدية، التقارير المالية، التخطيط المالي</w:t>
            </w:r>
          </w:p>
        </w:tc>
      </w:tr>
      <w:tr>
        <w:tc>
          <w:tcPr>
            <w:tcW w:type="dxa" w:w="4320"/>
          </w:tcPr>
          <w:p>
            <w:pPr>
              <w:jc w:val="right"/>
            </w:pPr>
            <w:r>
              <w:rPr>
                <w:rFonts w:ascii="Arial" w:hAnsi="Arial" w:eastAsia="Arial"/>
              </w:rPr>
              <w:t>المدير التجاري</w:t>
            </w:r>
          </w:p>
        </w:tc>
        <w:tc>
          <w:tcPr>
            <w:tcW w:type="dxa" w:w="4320"/>
          </w:tcPr>
          <w:p>
            <w:pPr>
              <w:jc w:val="right"/>
            </w:pPr>
            <w:r>
              <w:rPr>
                <w:rFonts w:ascii="Arial" w:hAnsi="Arial" w:eastAsia="Arial"/>
              </w:rPr>
              <w:t>التسويق والمبيعات، علاقات المالكين، تطوير الأعمال</w:t>
            </w:r>
          </w:p>
        </w:tc>
      </w:tr>
      <w:tr>
        <w:tc>
          <w:tcPr>
            <w:tcW w:type="dxa" w:w="4320"/>
          </w:tcPr>
          <w:p>
            <w:pPr>
              <w:jc w:val="right"/>
            </w:pPr>
            <w:r>
              <w:rPr>
                <w:rFonts w:ascii="Arial" w:hAnsi="Arial" w:eastAsia="Arial"/>
              </w:rPr>
              <w:t>المدير القانوني</w:t>
            </w:r>
          </w:p>
        </w:tc>
        <w:tc>
          <w:tcPr>
            <w:tcW w:type="dxa" w:w="4320"/>
          </w:tcPr>
          <w:p>
            <w:pPr>
              <w:jc w:val="right"/>
            </w:pPr>
            <w:r>
              <w:rPr>
                <w:rFonts w:ascii="Arial" w:hAnsi="Arial" w:eastAsia="Arial"/>
              </w:rPr>
              <w:t>العقود، الامتثال، حل النزاعات</w:t>
            </w:r>
          </w:p>
        </w:tc>
      </w:tr>
      <w:tr>
        <w:tc>
          <w:tcPr>
            <w:tcW w:type="dxa" w:w="4320"/>
          </w:tcPr>
          <w:p>
            <w:pPr>
              <w:jc w:val="right"/>
            </w:pPr>
            <w:r>
              <w:rPr>
                <w:rFonts w:ascii="Arial" w:hAnsi="Arial" w:eastAsia="Arial"/>
              </w:rPr>
              <w:t>مدير الموارد البشرية والإدارة</w:t>
            </w:r>
          </w:p>
        </w:tc>
        <w:tc>
          <w:tcPr>
            <w:tcW w:type="dxa" w:w="4320"/>
          </w:tcPr>
          <w:p>
            <w:pPr>
              <w:jc w:val="right"/>
            </w:pPr>
            <w:r>
              <w:rPr>
                <w:rFonts w:ascii="Arial" w:hAnsi="Arial" w:eastAsia="Arial"/>
              </w:rPr>
              <w:t>الموظفين والإجراءات الإدارية</w:t>
            </w:r>
          </w:p>
        </w:tc>
      </w:tr>
    </w:tbl>
    <w:p>
      <w:pPr>
        <w:pStyle w:val="Heading2"/>
        <w:jc w:val="right"/>
      </w:pPr>
      <w:r>
        <w:rPr>
          <w:rFonts w:ascii="Arial" w:hAnsi="Arial" w:eastAsia="Arial"/>
          <w:color w:val="D4A853"/>
        </w:rPr>
        <w:t>خطة التوظيف</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shd w:fill="0A0F1A"/>
          </w:tcPr>
          <w:p>
            <w:pPr>
              <w:jc w:val="right"/>
            </w:pPr>
            <w:r>
              <w:rPr>
                <w:rFonts w:ascii="Arial" w:hAnsi="Arial" w:eastAsia="Arial"/>
                <w:b/>
                <w:color w:val="FFFFFF"/>
              </w:rPr>
              <w:t>السنة</w:t>
            </w:r>
          </w:p>
        </w:tc>
        <w:tc>
          <w:tcPr>
            <w:tcW w:type="dxa" w:w="2880"/>
            <w:shd w:fill="0A0F1A"/>
          </w:tcPr>
          <w:p>
            <w:pPr>
              <w:jc w:val="right"/>
            </w:pPr>
            <w:r>
              <w:rPr>
                <w:rFonts w:ascii="Arial" w:hAnsi="Arial" w:eastAsia="Arial"/>
                <w:b/>
                <w:color w:val="FFFFFF"/>
              </w:rPr>
              <w:t>الموظفين</w:t>
            </w:r>
          </w:p>
        </w:tc>
        <w:tc>
          <w:tcPr>
            <w:tcW w:type="dxa" w:w="2880"/>
            <w:shd w:fill="0A0F1A"/>
          </w:tcPr>
          <w:p>
            <w:pPr>
              <w:jc w:val="right"/>
            </w:pPr>
            <w:r>
              <w:rPr>
                <w:rFonts w:ascii="Arial" w:hAnsi="Arial" w:eastAsia="Arial"/>
                <w:b/>
                <w:color w:val="FFFFFF"/>
              </w:rPr>
              <w:t>الملاحظات</w:t>
            </w:r>
          </w:p>
        </w:tc>
      </w:tr>
      <w:tr>
        <w:tc>
          <w:tcPr>
            <w:tcW w:type="dxa" w:w="2880"/>
          </w:tcPr>
          <w:p>
            <w:pPr>
              <w:jc w:val="right"/>
            </w:pPr>
            <w:r>
              <w:rPr>
                <w:rFonts w:ascii="Arial" w:hAnsi="Arial" w:eastAsia="Arial"/>
              </w:rPr>
              <w:t>السنة</w:t>
            </w:r>
          </w:p>
        </w:tc>
        <w:tc>
          <w:tcPr>
            <w:tcW w:type="dxa" w:w="2880"/>
          </w:tcPr>
          <w:p>
            <w:pPr>
              <w:jc w:val="right"/>
            </w:pPr>
            <w:r>
              <w:rPr>
                <w:rFonts w:ascii="Arial" w:hAnsi="Arial" w:eastAsia="Arial"/>
              </w:rPr>
              <w:t>عدد الموظفين</w:t>
            </w:r>
          </w:p>
        </w:tc>
        <w:tc>
          <w:tcPr>
            <w:tcW w:type="dxa" w:w="2880"/>
          </w:tcPr>
          <w:p>
            <w:pPr>
              <w:jc w:val="right"/>
            </w:pPr>
            <w:r>
              <w:rPr>
                <w:rFonts w:ascii="Arial" w:hAnsi="Arial" w:eastAsia="Arial"/>
              </w:rPr>
              <w:t>الملاحظات</w:t>
            </w:r>
          </w:p>
        </w:tc>
      </w:tr>
      <w:tr>
        <w:tc>
          <w:tcPr>
            <w:tcW w:type="dxa" w:w="2880"/>
          </w:tcPr>
          <w:p>
            <w:pPr>
              <w:jc w:val="right"/>
            </w:pPr>
            <w:r>
              <w:rPr>
                <w:rFonts w:ascii="Arial" w:hAnsi="Arial" w:eastAsia="Arial"/>
              </w:rPr>
              <w:t>1</w:t>
            </w:r>
          </w:p>
        </w:tc>
        <w:tc>
          <w:tcPr>
            <w:tcW w:type="dxa" w:w="2880"/>
          </w:tcPr>
          <w:p>
            <w:pPr>
              <w:jc w:val="right"/>
            </w:pPr>
            <w:r>
              <w:rPr>
                <w:rFonts w:ascii="Arial" w:hAnsi="Arial" w:eastAsia="Arial"/>
              </w:rPr>
              <w:t>10 - 15</w:t>
            </w:r>
          </w:p>
        </w:tc>
        <w:tc>
          <w:tcPr>
            <w:tcW w:type="dxa" w:w="2880"/>
          </w:tcPr>
          <w:p>
            <w:pPr>
              <w:jc w:val="right"/>
            </w:pPr>
            <w:r>
              <w:rPr>
                <w:rFonts w:ascii="Arial" w:hAnsi="Arial" w:eastAsia="Arial"/>
              </w:rPr>
              <w:t>فريق أساسي للمرحلة الأولى</w:t>
            </w:r>
          </w:p>
        </w:tc>
      </w:tr>
      <w:tr>
        <w:tc>
          <w:tcPr>
            <w:tcW w:type="dxa" w:w="2880"/>
          </w:tcPr>
          <w:p>
            <w:pPr>
              <w:jc w:val="right"/>
            </w:pPr>
            <w:r>
              <w:rPr>
                <w:rFonts w:ascii="Arial" w:hAnsi="Arial" w:eastAsia="Arial"/>
              </w:rPr>
              <w:t>2</w:t>
            </w:r>
          </w:p>
        </w:tc>
        <w:tc>
          <w:tcPr>
            <w:tcW w:type="dxa" w:w="2880"/>
          </w:tcPr>
          <w:p>
            <w:pPr>
              <w:jc w:val="right"/>
            </w:pPr>
            <w:r>
              <w:rPr>
                <w:rFonts w:ascii="Arial" w:hAnsi="Arial" w:eastAsia="Arial"/>
              </w:rPr>
              <w:t>15</w:t>
            </w:r>
          </w:p>
        </w:tc>
        <w:tc>
          <w:tcPr>
            <w:tcW w:type="dxa" w:w="2880"/>
          </w:tcPr>
          <w:p>
            <w:pPr>
              <w:jc w:val="right"/>
            </w:pPr>
            <w:r>
              <w:rPr>
                <w:rFonts w:ascii="Arial" w:hAnsi="Arial" w:eastAsia="Arial"/>
              </w:rPr>
              <w:t>تثبيت الهيكل التشغيلي</w:t>
            </w:r>
          </w:p>
        </w:tc>
      </w:tr>
      <w:tr>
        <w:tc>
          <w:tcPr>
            <w:tcW w:type="dxa" w:w="2880"/>
          </w:tcPr>
          <w:p>
            <w:pPr>
              <w:jc w:val="right"/>
            </w:pPr>
            <w:r>
              <w:rPr>
                <w:rFonts w:ascii="Arial" w:hAnsi="Arial" w:eastAsia="Arial"/>
              </w:rPr>
              <w:t>3</w:t>
            </w:r>
          </w:p>
        </w:tc>
        <w:tc>
          <w:tcPr>
            <w:tcW w:type="dxa" w:w="2880"/>
          </w:tcPr>
          <w:p>
            <w:pPr>
              <w:jc w:val="right"/>
            </w:pPr>
            <w:r>
              <w:rPr>
                <w:rFonts w:ascii="Arial" w:hAnsi="Arial" w:eastAsia="Arial"/>
              </w:rPr>
              <w:t>18 - 20</w:t>
            </w:r>
          </w:p>
        </w:tc>
        <w:tc>
          <w:tcPr>
            <w:tcW w:type="dxa" w:w="2880"/>
          </w:tcPr>
          <w:p>
            <w:pPr>
              <w:jc w:val="right"/>
            </w:pPr>
            <w:r>
              <w:rPr>
                <w:rFonts w:ascii="Arial" w:hAnsi="Arial" w:eastAsia="Arial"/>
              </w:rPr>
              <w:t>التوسع في عدد المشاريع</w:t>
            </w:r>
          </w:p>
        </w:tc>
      </w:tr>
      <w:tr>
        <w:tc>
          <w:tcPr>
            <w:tcW w:type="dxa" w:w="2880"/>
          </w:tcPr>
          <w:p>
            <w:pPr>
              <w:jc w:val="right"/>
            </w:pPr>
            <w:r>
              <w:rPr>
                <w:rFonts w:ascii="Arial" w:hAnsi="Arial" w:eastAsia="Arial"/>
              </w:rPr>
              <w:t>5</w:t>
            </w:r>
          </w:p>
        </w:tc>
        <w:tc>
          <w:tcPr>
            <w:tcW w:type="dxa" w:w="2880"/>
          </w:tcPr>
          <w:p>
            <w:pPr>
              <w:jc w:val="right"/>
            </w:pPr>
            <w:r>
              <w:rPr>
                <w:rFonts w:ascii="Arial" w:hAnsi="Arial" w:eastAsia="Arial"/>
              </w:rPr>
              <w:t>25 - 30</w:t>
            </w:r>
          </w:p>
        </w:tc>
        <w:tc>
          <w:tcPr>
            <w:tcW w:type="dxa" w:w="2880"/>
          </w:tcPr>
          <w:p>
            <w:pPr>
              <w:jc w:val="right"/>
            </w:pPr>
            <w:r>
              <w:rPr>
                <w:rFonts w:ascii="Arial" w:hAnsi="Arial" w:eastAsia="Arial"/>
              </w:rPr>
              <w:t>دعم محفظة 10 مشاريع سنوياً</w:t>
            </w:r>
          </w:p>
        </w:tc>
      </w:tr>
    </w:tbl>
    <w:p>
      <w:r>
        <w:br w:type="page"/>
      </w:r>
    </w:p>
    <w:p>
      <w:pPr>
        <w:pStyle w:val="Heading1"/>
        <w:jc w:val="right"/>
      </w:pPr>
      <w:r>
        <w:rPr>
          <w:rFonts w:ascii="Arial" w:hAnsi="Arial" w:eastAsia="Arial"/>
          <w:color w:val="003366"/>
        </w:rPr>
        <w:t>7. الخطة التشغيلية</w:t>
      </w:r>
    </w:p>
    <w:p>
      <w:pPr>
        <w:pStyle w:val="Heading2"/>
        <w:jc w:val="right"/>
      </w:pPr>
      <w:r>
        <w:rPr>
          <w:rFonts w:ascii="Arial" w:hAnsi="Arial" w:eastAsia="Arial"/>
          <w:color w:val="D4A853"/>
        </w:rPr>
        <w:t>7.1 مراحل المشروع الواحد</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shd w:fill="0A0F1A"/>
          </w:tcPr>
          <w:p>
            <w:pPr>
              <w:jc w:val="right"/>
            </w:pPr>
            <w:r>
              <w:rPr>
                <w:rFonts w:ascii="Arial" w:hAnsi="Arial" w:eastAsia="Arial"/>
                <w:b/>
                <w:color w:val="FFFFFF"/>
              </w:rPr>
              <w:t>المرحلة</w:t>
            </w:r>
          </w:p>
        </w:tc>
        <w:tc>
          <w:tcPr>
            <w:tcW w:type="dxa" w:w="2880"/>
            <w:shd w:fill="0A0F1A"/>
          </w:tcPr>
          <w:p>
            <w:pPr>
              <w:jc w:val="right"/>
            </w:pPr>
            <w:r>
              <w:rPr>
                <w:rFonts w:ascii="Arial" w:hAnsi="Arial" w:eastAsia="Arial"/>
                <w:b/>
                <w:color w:val="FFFFFF"/>
              </w:rPr>
              <w:t>المدة</w:t>
            </w:r>
          </w:p>
        </w:tc>
        <w:tc>
          <w:tcPr>
            <w:tcW w:type="dxa" w:w="2880"/>
            <w:shd w:fill="0A0F1A"/>
          </w:tcPr>
          <w:p>
            <w:pPr>
              <w:jc w:val="right"/>
            </w:pPr>
            <w:r>
              <w:rPr>
                <w:rFonts w:ascii="Arial" w:hAnsi="Arial" w:eastAsia="Arial"/>
                <w:b/>
                <w:color w:val="FFFFFF"/>
              </w:rPr>
              <w:t>الأنشطة</w:t>
            </w:r>
          </w:p>
        </w:tc>
      </w:tr>
      <w:tr>
        <w:tc>
          <w:tcPr>
            <w:tcW w:type="dxa" w:w="2880"/>
          </w:tcPr>
          <w:p>
            <w:pPr>
              <w:jc w:val="right"/>
            </w:pPr>
            <w:r>
              <w:rPr>
                <w:rFonts w:ascii="Arial" w:hAnsi="Arial" w:eastAsia="Arial"/>
              </w:rPr>
              <w:t>المرحلة</w:t>
            </w:r>
          </w:p>
        </w:tc>
        <w:tc>
          <w:tcPr>
            <w:tcW w:type="dxa" w:w="2880"/>
          </w:tcPr>
          <w:p>
            <w:pPr>
              <w:jc w:val="right"/>
            </w:pPr>
            <w:r>
              <w:rPr>
                <w:rFonts w:ascii="Arial" w:hAnsi="Arial" w:eastAsia="Arial"/>
              </w:rPr>
              <w:t>المدة</w:t>
            </w:r>
          </w:p>
        </w:tc>
        <w:tc>
          <w:tcPr>
            <w:tcW w:type="dxa" w:w="2880"/>
          </w:tcPr>
          <w:p>
            <w:pPr>
              <w:jc w:val="right"/>
            </w:pPr>
            <w:r>
              <w:rPr>
                <w:rFonts w:ascii="Arial" w:hAnsi="Arial" w:eastAsia="Arial"/>
              </w:rPr>
              <w:t>الأنشطة</w:t>
            </w:r>
          </w:p>
        </w:tc>
      </w:tr>
      <w:tr>
        <w:tc>
          <w:tcPr>
            <w:tcW w:type="dxa" w:w="2880"/>
          </w:tcPr>
          <w:p>
            <w:pPr>
              <w:jc w:val="right"/>
            </w:pPr>
            <w:r>
              <w:rPr>
                <w:rFonts w:ascii="Arial" w:hAnsi="Arial" w:eastAsia="Arial"/>
              </w:rPr>
              <w:t>التقييم</w:t>
            </w:r>
          </w:p>
        </w:tc>
        <w:tc>
          <w:tcPr>
            <w:tcW w:type="dxa" w:w="2880"/>
          </w:tcPr>
          <w:p>
            <w:pPr>
              <w:jc w:val="right"/>
            </w:pPr>
            <w:r>
              <w:rPr>
                <w:rFonts w:ascii="Arial" w:hAnsi="Arial" w:eastAsia="Arial"/>
              </w:rPr>
              <w:t>4 أسابيع</w:t>
            </w:r>
          </w:p>
        </w:tc>
        <w:tc>
          <w:tcPr>
            <w:tcW w:type="dxa" w:w="2880"/>
          </w:tcPr>
          <w:p>
            <w:pPr>
              <w:jc w:val="right"/>
            </w:pPr>
            <w:r>
              <w:rPr>
                <w:rFonts w:ascii="Arial" w:hAnsi="Arial" w:eastAsia="Arial"/>
              </w:rPr>
              <w:t>فحص هيكلي، مراجعة قانونية، تقدير تكلفة</w:t>
            </w:r>
          </w:p>
        </w:tc>
      </w:tr>
      <w:tr>
        <w:tc>
          <w:tcPr>
            <w:tcW w:type="dxa" w:w="2880"/>
          </w:tcPr>
          <w:p>
            <w:pPr>
              <w:jc w:val="right"/>
            </w:pPr>
            <w:r>
              <w:rPr>
                <w:rFonts w:ascii="Arial" w:hAnsi="Arial" w:eastAsia="Arial"/>
              </w:rPr>
              <w:t>التعاقد</w:t>
            </w:r>
          </w:p>
        </w:tc>
        <w:tc>
          <w:tcPr>
            <w:tcW w:type="dxa" w:w="2880"/>
          </w:tcPr>
          <w:p>
            <w:pPr>
              <w:jc w:val="right"/>
            </w:pPr>
            <w:r>
              <w:rPr>
                <w:rFonts w:ascii="Arial" w:hAnsi="Arial" w:eastAsia="Arial"/>
              </w:rPr>
              <w:t>2 - 4 أسابيع</w:t>
            </w:r>
          </w:p>
        </w:tc>
        <w:tc>
          <w:tcPr>
            <w:tcW w:type="dxa" w:w="2880"/>
          </w:tcPr>
          <w:p>
            <w:pPr>
              <w:jc w:val="right"/>
            </w:pPr>
            <w:r>
              <w:rPr>
                <w:rFonts w:ascii="Arial" w:hAnsi="Arial" w:eastAsia="Arial"/>
              </w:rPr>
              <w:t>عقد محاصة، استصدار الموافقات</w:t>
            </w:r>
          </w:p>
        </w:tc>
      </w:tr>
      <w:tr>
        <w:tc>
          <w:tcPr>
            <w:tcW w:type="dxa" w:w="2880"/>
          </w:tcPr>
          <w:p>
            <w:pPr>
              <w:jc w:val="right"/>
            </w:pPr>
            <w:r>
              <w:rPr>
                <w:rFonts w:ascii="Arial" w:hAnsi="Arial" w:eastAsia="Arial"/>
              </w:rPr>
              <w:t>التصميم</w:t>
            </w:r>
          </w:p>
        </w:tc>
        <w:tc>
          <w:tcPr>
            <w:tcW w:type="dxa" w:w="2880"/>
          </w:tcPr>
          <w:p>
            <w:pPr>
              <w:jc w:val="right"/>
            </w:pPr>
            <w:r>
              <w:rPr>
                <w:rFonts w:ascii="Arial" w:hAnsi="Arial" w:eastAsia="Arial"/>
              </w:rPr>
              <w:t>4 - 8 أسابيع</w:t>
            </w:r>
          </w:p>
        </w:tc>
        <w:tc>
          <w:tcPr>
            <w:tcW w:type="dxa" w:w="2880"/>
          </w:tcPr>
          <w:p>
            <w:pPr>
              <w:jc w:val="right"/>
            </w:pPr>
            <w:r>
              <w:rPr>
                <w:rFonts w:ascii="Arial" w:hAnsi="Arial" w:eastAsia="Arial"/>
              </w:rPr>
              <w:t>التصاميم، التراخيص البلدية</w:t>
            </w:r>
          </w:p>
        </w:tc>
      </w:tr>
      <w:tr>
        <w:tc>
          <w:tcPr>
            <w:tcW w:type="dxa" w:w="2880"/>
          </w:tcPr>
          <w:p>
            <w:pPr>
              <w:jc w:val="right"/>
            </w:pPr>
            <w:r>
              <w:rPr>
                <w:rFonts w:ascii="Arial" w:hAnsi="Arial" w:eastAsia="Arial"/>
              </w:rPr>
              <w:t>التشطيب</w:t>
            </w:r>
          </w:p>
        </w:tc>
        <w:tc>
          <w:tcPr>
            <w:tcW w:type="dxa" w:w="2880"/>
          </w:tcPr>
          <w:p>
            <w:pPr>
              <w:jc w:val="right"/>
            </w:pPr>
            <w:r>
              <w:rPr>
                <w:rFonts w:ascii="Arial" w:hAnsi="Arial" w:eastAsia="Arial"/>
              </w:rPr>
              <w:t>16 - 24 أسبوع</w:t>
            </w:r>
          </w:p>
        </w:tc>
        <w:tc>
          <w:tcPr>
            <w:tcW w:type="dxa" w:w="2880"/>
          </w:tcPr>
          <w:p>
            <w:pPr>
              <w:jc w:val="right"/>
            </w:pPr>
            <w:r>
              <w:rPr>
                <w:rFonts w:ascii="Arial" w:hAnsi="Arial" w:eastAsia="Arial"/>
              </w:rPr>
              <w:t>اختيار مقاول، إشراف يومي</w:t>
            </w:r>
          </w:p>
        </w:tc>
      </w:tr>
      <w:tr>
        <w:tc>
          <w:tcPr>
            <w:tcW w:type="dxa" w:w="2880"/>
          </w:tcPr>
          <w:p>
            <w:pPr>
              <w:jc w:val="right"/>
            </w:pPr>
            <w:r>
              <w:rPr>
                <w:rFonts w:ascii="Arial" w:hAnsi="Arial" w:eastAsia="Arial"/>
              </w:rPr>
              <w:t>التسويق والبيع</w:t>
            </w:r>
          </w:p>
        </w:tc>
        <w:tc>
          <w:tcPr>
            <w:tcW w:type="dxa" w:w="2880"/>
          </w:tcPr>
          <w:p>
            <w:pPr>
              <w:jc w:val="right"/>
            </w:pPr>
            <w:r>
              <w:rPr>
                <w:rFonts w:ascii="Arial" w:hAnsi="Arial" w:eastAsia="Arial"/>
              </w:rPr>
              <w:t>12 - 24 أسبوع</w:t>
            </w:r>
          </w:p>
        </w:tc>
        <w:tc>
          <w:tcPr>
            <w:tcW w:type="dxa" w:w="2880"/>
          </w:tcPr>
          <w:p>
            <w:pPr>
              <w:jc w:val="right"/>
            </w:pPr>
            <w:r>
              <w:rPr>
                <w:rFonts w:ascii="Arial" w:hAnsi="Arial" w:eastAsia="Arial"/>
              </w:rPr>
              <w:t>عرض الوحدات، عقود البيع</w:t>
            </w:r>
          </w:p>
        </w:tc>
      </w:tr>
      <w:tr>
        <w:tc>
          <w:tcPr>
            <w:tcW w:type="dxa" w:w="2880"/>
          </w:tcPr>
          <w:p>
            <w:pPr>
              <w:jc w:val="right"/>
            </w:pPr>
            <w:r>
              <w:rPr>
                <w:rFonts w:ascii="Arial" w:hAnsi="Arial" w:eastAsia="Arial"/>
              </w:rPr>
              <w:t>التسليم والتسوية</w:t>
            </w:r>
          </w:p>
        </w:tc>
        <w:tc>
          <w:tcPr>
            <w:tcW w:type="dxa" w:w="2880"/>
          </w:tcPr>
          <w:p>
            <w:pPr>
              <w:jc w:val="right"/>
            </w:pPr>
            <w:r>
              <w:rPr>
                <w:rFonts w:ascii="Arial" w:hAnsi="Arial" w:eastAsia="Arial"/>
              </w:rPr>
              <w:t>4 - 8 أسابيع</w:t>
            </w:r>
          </w:p>
        </w:tc>
        <w:tc>
          <w:tcPr>
            <w:tcW w:type="dxa" w:w="2880"/>
          </w:tcPr>
          <w:p>
            <w:pPr>
              <w:jc w:val="right"/>
            </w:pPr>
            <w:r>
              <w:rPr>
                <w:rFonts w:ascii="Arial" w:hAnsi="Arial" w:eastAsia="Arial"/>
              </w:rPr>
              <w:t>تسليم الوحدات، نقل الملكية، توزيع الأرباح</w:t>
            </w:r>
          </w:p>
        </w:tc>
      </w:tr>
    </w:tbl>
    <w:p>
      <w:pPr>
        <w:pStyle w:val="Heading2"/>
        <w:jc w:val="right"/>
      </w:pPr>
      <w:r>
        <w:rPr>
          <w:rFonts w:ascii="Arial" w:hAnsi="Arial" w:eastAsia="Arial"/>
          <w:color w:val="D4A853"/>
        </w:rPr>
        <w:t>7.2 مؤشرات الأداء الرئيسية</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shd w:fill="0A0F1A"/>
          </w:tcPr>
          <w:p>
            <w:pPr>
              <w:jc w:val="right"/>
            </w:pPr>
            <w:r>
              <w:rPr>
                <w:rFonts w:ascii="Arial" w:hAnsi="Arial" w:eastAsia="Arial"/>
                <w:b/>
                <w:color w:val="FFFFFF"/>
              </w:rPr>
              <w:t>المؤشر</w:t>
            </w:r>
          </w:p>
        </w:tc>
        <w:tc>
          <w:tcPr>
            <w:tcW w:type="dxa" w:w="2160"/>
            <w:shd w:fill="0A0F1A"/>
          </w:tcPr>
          <w:p>
            <w:pPr>
              <w:jc w:val="right"/>
            </w:pPr>
            <w:r>
              <w:rPr>
                <w:rFonts w:ascii="Arial" w:hAnsi="Arial" w:eastAsia="Arial"/>
                <w:b/>
                <w:color w:val="FFFFFF"/>
              </w:rPr>
              <w:t>الهدف</w:t>
            </w:r>
          </w:p>
        </w:tc>
        <w:tc>
          <w:tcPr>
            <w:tcW w:type="dxa" w:w="2160"/>
            <w:shd w:fill="0A0F1A"/>
          </w:tcPr>
          <w:p>
            <w:pPr>
              <w:jc w:val="right"/>
            </w:pPr>
            <w:r>
              <w:rPr>
                <w:rFonts w:ascii="Arial" w:hAnsi="Arial" w:eastAsia="Arial"/>
                <w:b/>
                <w:color w:val="FFFFFF"/>
              </w:rPr>
              <w:t>التحذير</w:t>
            </w:r>
          </w:p>
        </w:tc>
        <w:tc>
          <w:tcPr>
            <w:tcW w:type="dxa" w:w="2160"/>
            <w:shd w:fill="0A0F1A"/>
          </w:tcPr>
          <w:p>
            <w:pPr>
              <w:jc w:val="right"/>
            </w:pPr>
            <w:r>
              <w:rPr>
                <w:rFonts w:ascii="Arial" w:hAnsi="Arial" w:eastAsia="Arial"/>
                <w:b/>
                <w:color w:val="FFFFFF"/>
              </w:rPr>
              <w:t>الخطر</w:t>
            </w:r>
          </w:p>
        </w:tc>
      </w:tr>
      <w:tr>
        <w:tc>
          <w:tcPr>
            <w:tcW w:type="dxa" w:w="2160"/>
          </w:tcPr>
          <w:p>
            <w:pPr>
              <w:jc w:val="right"/>
            </w:pPr>
            <w:r>
              <w:rPr>
                <w:rFonts w:ascii="Arial" w:hAnsi="Arial" w:eastAsia="Arial"/>
              </w:rPr>
              <w:t>المؤشر</w:t>
            </w:r>
          </w:p>
        </w:tc>
        <w:tc>
          <w:tcPr>
            <w:tcW w:type="dxa" w:w="2160"/>
          </w:tcPr>
          <w:p>
            <w:pPr>
              <w:jc w:val="right"/>
            </w:pPr>
            <w:r>
              <w:rPr>
                <w:rFonts w:ascii="Arial" w:hAnsi="Arial" w:eastAsia="Arial"/>
              </w:rPr>
              <w:t>الهدف</w:t>
            </w:r>
          </w:p>
        </w:tc>
        <w:tc>
          <w:tcPr>
            <w:tcW w:type="dxa" w:w="2160"/>
          </w:tcPr>
          <w:p>
            <w:pPr>
              <w:jc w:val="right"/>
            </w:pPr>
            <w:r>
              <w:rPr>
                <w:rFonts w:ascii="Arial" w:hAnsi="Arial" w:eastAsia="Arial"/>
              </w:rPr>
              <w:t>التحذير</w:t>
            </w:r>
          </w:p>
        </w:tc>
        <w:tc>
          <w:tcPr>
            <w:tcW w:type="dxa" w:w="2160"/>
          </w:tcPr>
          <w:p>
            <w:pPr>
              <w:jc w:val="right"/>
            </w:pPr>
            <w:r>
              <w:rPr>
                <w:rFonts w:ascii="Arial" w:hAnsi="Arial" w:eastAsia="Arial"/>
              </w:rPr>
              <w:t>الخطر</w:t>
            </w:r>
          </w:p>
        </w:tc>
      </w:tr>
      <w:tr>
        <w:tc>
          <w:tcPr>
            <w:tcW w:type="dxa" w:w="2160"/>
          </w:tcPr>
          <w:p>
            <w:pPr>
              <w:jc w:val="right"/>
            </w:pPr>
            <w:r>
              <w:rPr>
                <w:rFonts w:ascii="Arial" w:hAnsi="Arial" w:eastAsia="Arial"/>
              </w:rPr>
              <w:t>نسبة إنجاز التشطيب</w:t>
            </w:r>
          </w:p>
        </w:tc>
        <w:tc>
          <w:tcPr>
            <w:tcW w:type="dxa" w:w="2160"/>
          </w:tcPr>
          <w:p>
            <w:pPr>
              <w:jc w:val="right"/>
            </w:pPr>
            <w:r>
              <w:rPr>
                <w:rFonts w:ascii="Arial" w:hAnsi="Arial" w:eastAsia="Arial"/>
              </w:rPr>
              <w:t>&gt;80% في الشهر الرابع</w:t>
            </w:r>
          </w:p>
        </w:tc>
        <w:tc>
          <w:tcPr>
            <w:tcW w:type="dxa" w:w="2160"/>
          </w:tcPr>
          <w:p>
            <w:pPr>
              <w:jc w:val="right"/>
            </w:pPr>
            <w:r>
              <w:rPr>
                <w:rFonts w:ascii="Arial" w:hAnsi="Arial" w:eastAsia="Arial"/>
              </w:rPr>
              <w:t>&lt;60%</w:t>
            </w:r>
          </w:p>
        </w:tc>
        <w:tc>
          <w:tcPr>
            <w:tcW w:type="dxa" w:w="2160"/>
          </w:tcPr>
          <w:p>
            <w:pPr>
              <w:jc w:val="right"/>
            </w:pPr>
            <w:r>
              <w:rPr>
                <w:rFonts w:ascii="Arial" w:hAnsi="Arial" w:eastAsia="Arial"/>
              </w:rPr>
              <w:t>تأخر المقاول</w:t>
            </w:r>
          </w:p>
        </w:tc>
      </w:tr>
      <w:tr>
        <w:tc>
          <w:tcPr>
            <w:tcW w:type="dxa" w:w="2160"/>
          </w:tcPr>
          <w:p>
            <w:pPr>
              <w:jc w:val="right"/>
            </w:pPr>
            <w:r>
              <w:rPr>
                <w:rFonts w:ascii="Arial" w:hAnsi="Arial" w:eastAsia="Arial"/>
              </w:rPr>
              <w:t>معدل بيع الوحدات</w:t>
            </w:r>
          </w:p>
        </w:tc>
        <w:tc>
          <w:tcPr>
            <w:tcW w:type="dxa" w:w="2160"/>
          </w:tcPr>
          <w:p>
            <w:pPr>
              <w:jc w:val="right"/>
            </w:pPr>
            <w:r>
              <w:rPr>
                <w:rFonts w:ascii="Arial" w:hAnsi="Arial" w:eastAsia="Arial"/>
              </w:rPr>
              <w:t>&gt;30% في الشهر الثاني</w:t>
            </w:r>
          </w:p>
        </w:tc>
        <w:tc>
          <w:tcPr>
            <w:tcW w:type="dxa" w:w="2160"/>
          </w:tcPr>
          <w:p>
            <w:pPr>
              <w:jc w:val="right"/>
            </w:pPr>
            <w:r>
              <w:rPr>
                <w:rFonts w:ascii="Arial" w:hAnsi="Arial" w:eastAsia="Arial"/>
              </w:rPr>
              <w:t>&lt;10%</w:t>
            </w:r>
          </w:p>
        </w:tc>
        <w:tc>
          <w:tcPr>
            <w:tcW w:type="dxa" w:w="2160"/>
          </w:tcPr>
          <w:p>
            <w:pPr>
              <w:jc w:val="right"/>
            </w:pPr>
            <w:r>
              <w:rPr>
                <w:rFonts w:ascii="Arial" w:hAnsi="Arial" w:eastAsia="Arial"/>
              </w:rPr>
              <w:t>ضعف الطلب</w:t>
            </w:r>
          </w:p>
        </w:tc>
      </w:tr>
      <w:tr>
        <w:tc>
          <w:tcPr>
            <w:tcW w:type="dxa" w:w="2160"/>
          </w:tcPr>
          <w:p>
            <w:pPr>
              <w:jc w:val="right"/>
            </w:pPr>
            <w:r>
              <w:rPr>
                <w:rFonts w:ascii="Arial" w:hAnsi="Arial" w:eastAsia="Arial"/>
              </w:rPr>
              <w:t>تكلفة التشطيب/المتوقع</w:t>
            </w:r>
          </w:p>
        </w:tc>
        <w:tc>
          <w:tcPr>
            <w:tcW w:type="dxa" w:w="2160"/>
          </w:tcPr>
          <w:p>
            <w:pPr>
              <w:jc w:val="right"/>
            </w:pPr>
            <w:r>
              <w:rPr>
                <w:rFonts w:ascii="Arial" w:hAnsi="Arial" w:eastAsia="Arial"/>
              </w:rPr>
              <w:t>&lt;105%</w:t>
            </w:r>
          </w:p>
        </w:tc>
        <w:tc>
          <w:tcPr>
            <w:tcW w:type="dxa" w:w="2160"/>
          </w:tcPr>
          <w:p>
            <w:pPr>
              <w:jc w:val="right"/>
            </w:pPr>
            <w:r>
              <w:rPr>
                <w:rFonts w:ascii="Arial" w:hAnsi="Arial" w:eastAsia="Arial"/>
              </w:rPr>
              <w:t>&gt;115%</w:t>
            </w:r>
          </w:p>
        </w:tc>
        <w:tc>
          <w:tcPr>
            <w:tcW w:type="dxa" w:w="2160"/>
          </w:tcPr>
          <w:p>
            <w:pPr>
              <w:jc w:val="right"/>
            </w:pPr>
            <w:r>
              <w:rPr>
                <w:rFonts w:ascii="Arial" w:hAnsi="Arial" w:eastAsia="Arial"/>
              </w:rPr>
              <w:t>عيوب مخفية</w:t>
            </w:r>
          </w:p>
        </w:tc>
      </w:tr>
      <w:tr>
        <w:tc>
          <w:tcPr>
            <w:tcW w:type="dxa" w:w="2160"/>
          </w:tcPr>
          <w:p>
            <w:pPr>
              <w:jc w:val="right"/>
            </w:pPr>
            <w:r>
              <w:rPr>
                <w:rFonts w:ascii="Arial" w:hAnsi="Arial" w:eastAsia="Arial"/>
              </w:rPr>
              <w:t>رضا العملاء (NPS)</w:t>
            </w:r>
          </w:p>
        </w:tc>
        <w:tc>
          <w:tcPr>
            <w:tcW w:type="dxa" w:w="2160"/>
          </w:tcPr>
          <w:p>
            <w:pPr>
              <w:jc w:val="right"/>
            </w:pPr>
            <w:r>
              <w:rPr>
                <w:rFonts w:ascii="Arial" w:hAnsi="Arial" w:eastAsia="Arial"/>
              </w:rPr>
              <w:t>&gt;50</w:t>
            </w:r>
          </w:p>
        </w:tc>
        <w:tc>
          <w:tcPr>
            <w:tcW w:type="dxa" w:w="2160"/>
          </w:tcPr>
          <w:p>
            <w:pPr>
              <w:jc w:val="right"/>
            </w:pPr>
            <w:r>
              <w:rPr>
                <w:rFonts w:ascii="Arial" w:hAnsi="Arial" w:eastAsia="Arial"/>
              </w:rPr>
              <w:t>&lt;30</w:t>
            </w:r>
          </w:p>
        </w:tc>
        <w:tc>
          <w:tcPr>
            <w:tcW w:type="dxa" w:w="2160"/>
          </w:tcPr>
          <w:p>
            <w:pPr>
              <w:jc w:val="right"/>
            </w:pPr>
            <w:r>
              <w:rPr>
                <w:rFonts w:ascii="Arial" w:hAnsi="Arial" w:eastAsia="Arial"/>
              </w:rPr>
              <w:t>مشاكل جودة</w:t>
            </w:r>
          </w:p>
        </w:tc>
      </w:tr>
      <w:tr>
        <w:tc>
          <w:tcPr>
            <w:tcW w:type="dxa" w:w="2160"/>
          </w:tcPr>
          <w:p>
            <w:pPr>
              <w:jc w:val="right"/>
            </w:pPr>
            <w:r>
              <w:rPr>
                <w:rFonts w:ascii="Arial" w:hAnsi="Arial" w:eastAsia="Arial"/>
              </w:rPr>
              <w:t>مدة البيع</w:t>
            </w:r>
          </w:p>
        </w:tc>
        <w:tc>
          <w:tcPr>
            <w:tcW w:type="dxa" w:w="2160"/>
          </w:tcPr>
          <w:p>
            <w:pPr>
              <w:jc w:val="right"/>
            </w:pPr>
            <w:r>
              <w:rPr>
                <w:rFonts w:ascii="Arial" w:hAnsi="Arial" w:eastAsia="Arial"/>
              </w:rPr>
              <w:t>&lt;6 أشهر</w:t>
            </w:r>
          </w:p>
        </w:tc>
        <w:tc>
          <w:tcPr>
            <w:tcW w:type="dxa" w:w="2160"/>
          </w:tcPr>
          <w:p>
            <w:pPr>
              <w:jc w:val="right"/>
            </w:pPr>
            <w:r>
              <w:rPr>
                <w:rFonts w:ascii="Arial" w:hAnsi="Arial" w:eastAsia="Arial"/>
              </w:rPr>
              <w:t>&gt;9 أشهر</w:t>
            </w:r>
          </w:p>
        </w:tc>
        <w:tc>
          <w:tcPr>
            <w:tcW w:type="dxa" w:w="2160"/>
          </w:tcPr>
          <w:p>
            <w:pPr>
              <w:jc w:val="right"/>
            </w:pPr>
            <w:r>
              <w:rPr>
                <w:rFonts w:ascii="Arial" w:hAnsi="Arial" w:eastAsia="Arial"/>
              </w:rPr>
              <w:t>ركود السوق</w:t>
            </w:r>
          </w:p>
        </w:tc>
      </w:tr>
    </w:tbl>
    <w:p>
      <w:r>
        <w:br w:type="page"/>
      </w:r>
    </w:p>
    <w:p>
      <w:pPr>
        <w:pStyle w:val="Heading1"/>
        <w:jc w:val="right"/>
      </w:pPr>
      <w:r>
        <w:rPr>
          <w:rFonts w:ascii="Arial" w:hAnsi="Arial" w:eastAsia="Arial"/>
          <w:color w:val="003366"/>
        </w:rPr>
        <w:t>8. الجداول المالية</w:t>
      </w:r>
    </w:p>
    <w:p>
      <w:pPr>
        <w:pStyle w:val="Heading2"/>
        <w:jc w:val="right"/>
      </w:pPr>
      <w:r>
        <w:rPr>
          <w:rFonts w:ascii="Arial" w:hAnsi="Arial" w:eastAsia="Arial"/>
          <w:color w:val="D4A853"/>
        </w:rPr>
        <w:t>8.1 افتراضات النموذج المالي</w:t>
      </w:r>
    </w:p>
    <w:tbl>
      <w:tblPr>
        <w:tblStyle w:val="LightGrid-Accent1"/>
        <w:tblW w:type="auto" w:w="0"/>
        <w:jc w:val="right"/>
        <w:tblLook w:firstColumn="1" w:firstRow="1" w:lastColumn="0" w:lastRow="0" w:noHBand="0" w:noVBand="1" w:val="04A0"/>
      </w:tblPr>
      <w:tblGrid>
        <w:gridCol w:w="4320"/>
        <w:gridCol w:w="4320"/>
      </w:tblGrid>
      <w:tr>
        <w:tc>
          <w:tcPr>
            <w:tcW w:type="dxa" w:w="4320"/>
            <w:shd w:fill="0A0F1A"/>
          </w:tcPr>
          <w:p>
            <w:pPr>
              <w:jc w:val="right"/>
            </w:pPr>
            <w:r>
              <w:rPr>
                <w:rFonts w:ascii="Arial" w:hAnsi="Arial" w:eastAsia="Arial"/>
                <w:b/>
                <w:color w:val="FFFFFF"/>
              </w:rPr>
              <w:t>الافتراض</w:t>
            </w:r>
          </w:p>
        </w:tc>
        <w:tc>
          <w:tcPr>
            <w:tcW w:type="dxa" w:w="4320"/>
            <w:shd w:fill="0A0F1A"/>
          </w:tcPr>
          <w:p>
            <w:pPr>
              <w:jc w:val="right"/>
            </w:pPr>
            <w:r>
              <w:rPr>
                <w:rFonts w:ascii="Arial" w:hAnsi="Arial" w:eastAsia="Arial"/>
                <w:b/>
                <w:color w:val="FFFFFF"/>
              </w:rPr>
              <w:t>القيمة</w:t>
            </w:r>
          </w:p>
        </w:tc>
      </w:tr>
      <w:tr>
        <w:tc>
          <w:tcPr>
            <w:tcW w:type="dxa" w:w="4320"/>
          </w:tcPr>
          <w:p>
            <w:pPr>
              <w:jc w:val="right"/>
            </w:pPr>
            <w:r>
              <w:rPr>
                <w:rFonts w:ascii="Arial" w:hAnsi="Arial" w:eastAsia="Arial"/>
              </w:rPr>
              <w:t>الافتراض</w:t>
            </w:r>
          </w:p>
        </w:tc>
        <w:tc>
          <w:tcPr>
            <w:tcW w:type="dxa" w:w="4320"/>
          </w:tcPr>
          <w:p>
            <w:pPr>
              <w:jc w:val="right"/>
            </w:pPr>
            <w:r>
              <w:rPr>
                <w:rFonts w:ascii="Arial" w:hAnsi="Arial" w:eastAsia="Arial"/>
              </w:rPr>
              <w:t>القيمة</w:t>
            </w:r>
          </w:p>
        </w:tc>
      </w:tr>
      <w:tr>
        <w:tc>
          <w:tcPr>
            <w:tcW w:type="dxa" w:w="4320"/>
          </w:tcPr>
          <w:p>
            <w:pPr>
              <w:jc w:val="right"/>
            </w:pPr>
            <w:r>
              <w:rPr>
                <w:rFonts w:ascii="Arial" w:hAnsi="Arial" w:eastAsia="Arial"/>
              </w:rPr>
              <w:t>متوسط مساحة المبنى</w:t>
            </w:r>
          </w:p>
        </w:tc>
        <w:tc>
          <w:tcPr>
            <w:tcW w:type="dxa" w:w="4320"/>
          </w:tcPr>
          <w:p>
            <w:pPr>
              <w:jc w:val="right"/>
            </w:pPr>
            <w:r>
              <w:rPr>
                <w:rFonts w:ascii="Arial" w:hAnsi="Arial" w:eastAsia="Arial"/>
              </w:rPr>
              <w:t>1,500 م²</w:t>
            </w:r>
          </w:p>
        </w:tc>
      </w:tr>
      <w:tr>
        <w:tc>
          <w:tcPr>
            <w:tcW w:type="dxa" w:w="4320"/>
          </w:tcPr>
          <w:p>
            <w:pPr>
              <w:jc w:val="right"/>
            </w:pPr>
            <w:r>
              <w:rPr>
                <w:rFonts w:ascii="Arial" w:hAnsi="Arial" w:eastAsia="Arial"/>
              </w:rPr>
              <w:t>عدد الوحدات في المبنى</w:t>
            </w:r>
          </w:p>
        </w:tc>
        <w:tc>
          <w:tcPr>
            <w:tcW w:type="dxa" w:w="4320"/>
          </w:tcPr>
          <w:p>
            <w:pPr>
              <w:jc w:val="right"/>
            </w:pPr>
            <w:r>
              <w:rPr>
                <w:rFonts w:ascii="Arial" w:hAnsi="Arial" w:eastAsia="Arial"/>
              </w:rPr>
              <w:t>6 - 8 وحدات</w:t>
            </w:r>
          </w:p>
        </w:tc>
      </w:tr>
      <w:tr>
        <w:tc>
          <w:tcPr>
            <w:tcW w:type="dxa" w:w="4320"/>
          </w:tcPr>
          <w:p>
            <w:pPr>
              <w:jc w:val="right"/>
            </w:pPr>
            <w:r>
              <w:rPr>
                <w:rFonts w:ascii="Arial" w:hAnsi="Arial" w:eastAsia="Arial"/>
              </w:rPr>
              <w:t>تكلفة التشطيب</w:t>
            </w:r>
          </w:p>
        </w:tc>
        <w:tc>
          <w:tcPr>
            <w:tcW w:type="dxa" w:w="4320"/>
          </w:tcPr>
          <w:p>
            <w:pPr>
              <w:jc w:val="right"/>
            </w:pPr>
            <w:r>
              <w:rPr>
                <w:rFonts w:ascii="Arial" w:hAnsi="Arial" w:eastAsia="Arial"/>
              </w:rPr>
              <w:t>1,200 - 1,800 ريال/م²</w:t>
            </w:r>
          </w:p>
        </w:tc>
      </w:tr>
      <w:tr>
        <w:tc>
          <w:tcPr>
            <w:tcW w:type="dxa" w:w="4320"/>
          </w:tcPr>
          <w:p>
            <w:pPr>
              <w:jc w:val="right"/>
            </w:pPr>
            <w:r>
              <w:rPr>
                <w:rFonts w:ascii="Arial" w:hAnsi="Arial" w:eastAsia="Arial"/>
              </w:rPr>
              <w:t>سعر البيع</w:t>
            </w:r>
          </w:p>
        </w:tc>
        <w:tc>
          <w:tcPr>
            <w:tcW w:type="dxa" w:w="4320"/>
          </w:tcPr>
          <w:p>
            <w:pPr>
              <w:jc w:val="right"/>
            </w:pPr>
            <w:r>
              <w:rPr>
                <w:rFonts w:ascii="Arial" w:hAnsi="Arial" w:eastAsia="Arial"/>
              </w:rPr>
              <w:t>2,500 - 3,500 ريال/م²</w:t>
            </w:r>
          </w:p>
        </w:tc>
      </w:tr>
      <w:tr>
        <w:tc>
          <w:tcPr>
            <w:tcW w:type="dxa" w:w="4320"/>
          </w:tcPr>
          <w:p>
            <w:pPr>
              <w:jc w:val="right"/>
            </w:pPr>
            <w:r>
              <w:rPr>
                <w:rFonts w:ascii="Arial" w:hAnsi="Arial" w:eastAsia="Arial"/>
              </w:rPr>
              <w:t>نسبة المحاصة للشركة</w:t>
            </w:r>
          </w:p>
        </w:tc>
        <w:tc>
          <w:tcPr>
            <w:tcW w:type="dxa" w:w="4320"/>
          </w:tcPr>
          <w:p>
            <w:pPr>
              <w:jc w:val="right"/>
            </w:pPr>
            <w:r>
              <w:rPr>
                <w:rFonts w:ascii="Arial" w:hAnsi="Arial" w:eastAsia="Arial"/>
              </w:rPr>
              <w:t>50%</w:t>
            </w:r>
          </w:p>
        </w:tc>
      </w:tr>
    </w:tbl>
    <w:p>
      <w:pPr>
        <w:pStyle w:val="Heading2"/>
        <w:jc w:val="right"/>
      </w:pPr>
      <w:r>
        <w:rPr>
          <w:rFonts w:ascii="Arial" w:hAnsi="Arial" w:eastAsia="Arial"/>
          <w:color w:val="D4A853"/>
        </w:rPr>
        <w:t>8.2 التكلفة التقديرية للمشروع الواحد</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shd w:fill="0A0F1A"/>
          </w:tcPr>
          <w:p>
            <w:pPr>
              <w:jc w:val="right"/>
            </w:pPr>
            <w:r>
              <w:rPr>
                <w:rFonts w:ascii="Arial" w:hAnsi="Arial" w:eastAsia="Arial"/>
                <w:b/>
                <w:color w:val="FFFFFF"/>
              </w:rPr>
              <w:t>البند</w:t>
            </w:r>
          </w:p>
        </w:tc>
        <w:tc>
          <w:tcPr>
            <w:tcW w:type="dxa" w:w="2880"/>
            <w:shd w:fill="0A0F1A"/>
          </w:tcPr>
          <w:p>
            <w:pPr>
              <w:jc w:val="right"/>
            </w:pPr>
            <w:r>
              <w:rPr>
                <w:rFonts w:ascii="Arial" w:hAnsi="Arial" w:eastAsia="Arial"/>
                <w:b/>
                <w:color w:val="FFFFFF"/>
              </w:rPr>
              <w:t>التكلفة</w:t>
            </w:r>
          </w:p>
        </w:tc>
        <w:tc>
          <w:tcPr>
            <w:tcW w:type="dxa" w:w="2880"/>
            <w:shd w:fill="0A0F1A"/>
          </w:tcPr>
          <w:p>
            <w:pPr>
              <w:jc w:val="right"/>
            </w:pPr>
            <w:r>
              <w:rPr>
                <w:rFonts w:ascii="Arial" w:hAnsi="Arial" w:eastAsia="Arial"/>
                <w:b/>
                <w:color w:val="FFFFFF"/>
              </w:rPr>
              <w:t>النسبة</w:t>
            </w:r>
          </w:p>
        </w:tc>
      </w:tr>
      <w:tr>
        <w:tc>
          <w:tcPr>
            <w:tcW w:type="dxa" w:w="2880"/>
          </w:tcPr>
          <w:p>
            <w:pPr>
              <w:jc w:val="right"/>
            </w:pPr>
            <w:r>
              <w:rPr>
                <w:rFonts w:ascii="Arial" w:hAnsi="Arial" w:eastAsia="Arial"/>
              </w:rPr>
              <w:t>البند</w:t>
            </w:r>
          </w:p>
        </w:tc>
        <w:tc>
          <w:tcPr>
            <w:tcW w:type="dxa" w:w="2880"/>
          </w:tcPr>
          <w:p>
            <w:pPr>
              <w:jc w:val="right"/>
            </w:pPr>
            <w:r>
              <w:rPr>
                <w:rFonts w:ascii="Arial" w:hAnsi="Arial" w:eastAsia="Arial"/>
              </w:rPr>
              <w:t>التكلفة (ريال)</w:t>
            </w:r>
          </w:p>
        </w:tc>
        <w:tc>
          <w:tcPr>
            <w:tcW w:type="dxa" w:w="2880"/>
          </w:tcPr>
          <w:p>
            <w:pPr>
              <w:jc w:val="right"/>
            </w:pPr>
            <w:r>
              <w:rPr>
                <w:rFonts w:ascii="Arial" w:hAnsi="Arial" w:eastAsia="Arial"/>
              </w:rPr>
              <w:t>النسبة</w:t>
            </w:r>
          </w:p>
        </w:tc>
      </w:tr>
      <w:tr>
        <w:tc>
          <w:tcPr>
            <w:tcW w:type="dxa" w:w="2880"/>
          </w:tcPr>
          <w:p>
            <w:pPr>
              <w:jc w:val="right"/>
            </w:pPr>
            <w:r>
              <w:rPr>
                <w:rFonts w:ascii="Arial" w:hAnsi="Arial" w:eastAsia="Arial"/>
              </w:rPr>
              <w:t>تكاليف التشطيب</w:t>
            </w:r>
          </w:p>
        </w:tc>
        <w:tc>
          <w:tcPr>
            <w:tcW w:type="dxa" w:w="2880"/>
          </w:tcPr>
          <w:p>
            <w:pPr>
              <w:jc w:val="right"/>
            </w:pPr>
            <w:r>
              <w:rPr>
                <w:rFonts w:ascii="Arial" w:hAnsi="Arial" w:eastAsia="Arial"/>
              </w:rPr>
              <w:t>2,250,000</w:t>
            </w:r>
          </w:p>
        </w:tc>
        <w:tc>
          <w:tcPr>
            <w:tcW w:type="dxa" w:w="2880"/>
          </w:tcPr>
          <w:p>
            <w:pPr>
              <w:jc w:val="right"/>
            </w:pPr>
            <w:r>
              <w:rPr>
                <w:rFonts w:ascii="Arial" w:hAnsi="Arial" w:eastAsia="Arial"/>
              </w:rPr>
              <w:t>55%</w:t>
            </w:r>
          </w:p>
        </w:tc>
      </w:tr>
      <w:tr>
        <w:tc>
          <w:tcPr>
            <w:tcW w:type="dxa" w:w="2880"/>
          </w:tcPr>
          <w:p>
            <w:pPr>
              <w:jc w:val="right"/>
            </w:pPr>
            <w:r>
              <w:rPr>
                <w:rFonts w:ascii="Arial" w:hAnsi="Arial" w:eastAsia="Arial"/>
              </w:rPr>
              <w:t>التراخيص والرسوم</w:t>
            </w:r>
          </w:p>
        </w:tc>
        <w:tc>
          <w:tcPr>
            <w:tcW w:type="dxa" w:w="2880"/>
          </w:tcPr>
          <w:p>
            <w:pPr>
              <w:jc w:val="right"/>
            </w:pPr>
            <w:r>
              <w:rPr>
                <w:rFonts w:ascii="Arial" w:hAnsi="Arial" w:eastAsia="Arial"/>
              </w:rPr>
              <w:t>150,000</w:t>
            </w:r>
          </w:p>
        </w:tc>
        <w:tc>
          <w:tcPr>
            <w:tcW w:type="dxa" w:w="2880"/>
          </w:tcPr>
          <w:p>
            <w:pPr>
              <w:jc w:val="right"/>
            </w:pPr>
            <w:r>
              <w:rPr>
                <w:rFonts w:ascii="Arial" w:hAnsi="Arial" w:eastAsia="Arial"/>
              </w:rPr>
              <w:t>4%</w:t>
            </w:r>
          </w:p>
        </w:tc>
      </w:tr>
      <w:tr>
        <w:tc>
          <w:tcPr>
            <w:tcW w:type="dxa" w:w="2880"/>
          </w:tcPr>
          <w:p>
            <w:pPr>
              <w:jc w:val="right"/>
            </w:pPr>
            <w:r>
              <w:rPr>
                <w:rFonts w:ascii="Arial" w:hAnsi="Arial" w:eastAsia="Arial"/>
              </w:rPr>
              <w:t>الاستشارات الهندسية</w:t>
            </w:r>
          </w:p>
        </w:tc>
        <w:tc>
          <w:tcPr>
            <w:tcW w:type="dxa" w:w="2880"/>
          </w:tcPr>
          <w:p>
            <w:pPr>
              <w:jc w:val="right"/>
            </w:pPr>
            <w:r>
              <w:rPr>
                <w:rFonts w:ascii="Arial" w:hAnsi="Arial" w:eastAsia="Arial"/>
              </w:rPr>
              <w:t>200,000</w:t>
            </w:r>
          </w:p>
        </w:tc>
        <w:tc>
          <w:tcPr>
            <w:tcW w:type="dxa" w:w="2880"/>
          </w:tcPr>
          <w:p>
            <w:pPr>
              <w:jc w:val="right"/>
            </w:pPr>
            <w:r>
              <w:rPr>
                <w:rFonts w:ascii="Arial" w:hAnsi="Arial" w:eastAsia="Arial"/>
              </w:rPr>
              <w:t>5%</w:t>
            </w:r>
          </w:p>
        </w:tc>
      </w:tr>
      <w:tr>
        <w:tc>
          <w:tcPr>
            <w:tcW w:type="dxa" w:w="2880"/>
          </w:tcPr>
          <w:p>
            <w:pPr>
              <w:jc w:val="right"/>
            </w:pPr>
            <w:r>
              <w:rPr>
                <w:rFonts w:ascii="Arial" w:hAnsi="Arial" w:eastAsia="Arial"/>
              </w:rPr>
              <w:t>التسويق والمبيعات</w:t>
            </w:r>
          </w:p>
        </w:tc>
        <w:tc>
          <w:tcPr>
            <w:tcW w:type="dxa" w:w="2880"/>
          </w:tcPr>
          <w:p>
            <w:pPr>
              <w:jc w:val="right"/>
            </w:pPr>
            <w:r>
              <w:rPr>
                <w:rFonts w:ascii="Arial" w:hAnsi="Arial" w:eastAsia="Arial"/>
              </w:rPr>
              <w:t>300,000</w:t>
            </w:r>
          </w:p>
        </w:tc>
        <w:tc>
          <w:tcPr>
            <w:tcW w:type="dxa" w:w="2880"/>
          </w:tcPr>
          <w:p>
            <w:pPr>
              <w:jc w:val="right"/>
            </w:pPr>
            <w:r>
              <w:rPr>
                <w:rFonts w:ascii="Arial" w:hAnsi="Arial" w:eastAsia="Arial"/>
              </w:rPr>
              <w:t>7%</w:t>
            </w:r>
          </w:p>
        </w:tc>
      </w:tr>
      <w:tr>
        <w:tc>
          <w:tcPr>
            <w:tcW w:type="dxa" w:w="2880"/>
          </w:tcPr>
          <w:p>
            <w:pPr>
              <w:jc w:val="right"/>
            </w:pPr>
            <w:r>
              <w:rPr>
                <w:rFonts w:ascii="Arial" w:hAnsi="Arial" w:eastAsia="Arial"/>
              </w:rPr>
              <w:t>احتياطي المخاطر (15%)</w:t>
            </w:r>
          </w:p>
        </w:tc>
        <w:tc>
          <w:tcPr>
            <w:tcW w:type="dxa" w:w="2880"/>
          </w:tcPr>
          <w:p>
            <w:pPr>
              <w:jc w:val="right"/>
            </w:pPr>
            <w:r>
              <w:rPr>
                <w:rFonts w:ascii="Arial" w:hAnsi="Arial" w:eastAsia="Arial"/>
              </w:rPr>
              <w:t>450,000</w:t>
            </w:r>
          </w:p>
        </w:tc>
        <w:tc>
          <w:tcPr>
            <w:tcW w:type="dxa" w:w="2880"/>
          </w:tcPr>
          <w:p>
            <w:pPr>
              <w:jc w:val="right"/>
            </w:pPr>
            <w:r>
              <w:rPr>
                <w:rFonts w:ascii="Arial" w:hAnsi="Arial" w:eastAsia="Arial"/>
              </w:rPr>
              <w:t>11%</w:t>
            </w:r>
          </w:p>
        </w:tc>
      </w:tr>
      <w:tr>
        <w:tc>
          <w:tcPr>
            <w:tcW w:type="dxa" w:w="2880"/>
          </w:tcPr>
          <w:p>
            <w:pPr>
              <w:jc w:val="right"/>
            </w:pPr>
            <w:r>
              <w:rPr>
                <w:rFonts w:ascii="Arial" w:hAnsi="Arial" w:eastAsia="Arial"/>
              </w:rPr>
              <w:t>التكاليف التشغيلية</w:t>
            </w:r>
          </w:p>
        </w:tc>
        <w:tc>
          <w:tcPr>
            <w:tcW w:type="dxa" w:w="2880"/>
          </w:tcPr>
          <w:p>
            <w:pPr>
              <w:jc w:val="right"/>
            </w:pPr>
            <w:r>
              <w:rPr>
                <w:rFonts w:ascii="Arial" w:hAnsi="Arial" w:eastAsia="Arial"/>
              </w:rPr>
              <w:t>250,000</w:t>
            </w:r>
          </w:p>
        </w:tc>
        <w:tc>
          <w:tcPr>
            <w:tcW w:type="dxa" w:w="2880"/>
          </w:tcPr>
          <w:p>
            <w:pPr>
              <w:jc w:val="right"/>
            </w:pPr>
            <w:r>
              <w:rPr>
                <w:rFonts w:ascii="Arial" w:hAnsi="Arial" w:eastAsia="Arial"/>
              </w:rPr>
              <w:t>6%</w:t>
            </w:r>
          </w:p>
        </w:tc>
      </w:tr>
      <w:tr>
        <w:tc>
          <w:tcPr>
            <w:tcW w:type="dxa" w:w="2880"/>
          </w:tcPr>
          <w:p>
            <w:pPr>
              <w:jc w:val="right"/>
            </w:pPr>
            <w:r>
              <w:rPr>
                <w:rFonts w:ascii="Arial" w:hAnsi="Arial" w:eastAsia="Arial"/>
              </w:rPr>
              <w:t>التكاليف المالية</w:t>
            </w:r>
          </w:p>
        </w:tc>
        <w:tc>
          <w:tcPr>
            <w:tcW w:type="dxa" w:w="2880"/>
          </w:tcPr>
          <w:p>
            <w:pPr>
              <w:jc w:val="right"/>
            </w:pPr>
            <w:r>
              <w:rPr>
                <w:rFonts w:ascii="Arial" w:hAnsi="Arial" w:eastAsia="Arial"/>
              </w:rPr>
              <w:t>200,000</w:t>
            </w:r>
          </w:p>
        </w:tc>
        <w:tc>
          <w:tcPr>
            <w:tcW w:type="dxa" w:w="2880"/>
          </w:tcPr>
          <w:p>
            <w:pPr>
              <w:jc w:val="right"/>
            </w:pPr>
            <w:r>
              <w:rPr>
                <w:rFonts w:ascii="Arial" w:hAnsi="Arial" w:eastAsia="Arial"/>
              </w:rPr>
              <w:t>5%</w:t>
            </w:r>
          </w:p>
        </w:tc>
      </w:tr>
      <w:tr>
        <w:tc>
          <w:tcPr>
            <w:tcW w:type="dxa" w:w="2880"/>
          </w:tcPr>
          <w:p>
            <w:pPr>
              <w:jc w:val="right"/>
            </w:pPr>
            <w:r>
              <w:rPr>
                <w:rFonts w:ascii="Arial" w:hAnsi="Arial" w:eastAsia="Arial"/>
              </w:rPr>
              <w:t>رسوم البيع والنقل</w:t>
            </w:r>
          </w:p>
        </w:tc>
        <w:tc>
          <w:tcPr>
            <w:tcW w:type="dxa" w:w="2880"/>
          </w:tcPr>
          <w:p>
            <w:pPr>
              <w:jc w:val="right"/>
            </w:pPr>
            <w:r>
              <w:rPr>
                <w:rFonts w:ascii="Arial" w:hAnsi="Arial" w:eastAsia="Arial"/>
              </w:rPr>
              <w:t>375,000</w:t>
            </w:r>
          </w:p>
        </w:tc>
        <w:tc>
          <w:tcPr>
            <w:tcW w:type="dxa" w:w="2880"/>
          </w:tcPr>
          <w:p>
            <w:pPr>
              <w:jc w:val="right"/>
            </w:pPr>
            <w:r>
              <w:rPr>
                <w:rFonts w:ascii="Arial" w:hAnsi="Arial" w:eastAsia="Arial"/>
              </w:rPr>
              <w:t>9%</w:t>
            </w:r>
          </w:p>
        </w:tc>
      </w:tr>
      <w:tr>
        <w:tc>
          <w:tcPr>
            <w:tcW w:type="dxa" w:w="2880"/>
          </w:tcPr>
          <w:p>
            <w:pPr>
              <w:jc w:val="right"/>
            </w:pPr>
            <w:r>
              <w:rPr>
                <w:rFonts w:ascii="Arial" w:hAnsi="Arial" w:eastAsia="Arial"/>
              </w:rPr>
              <w:t>الإجمالي</w:t>
            </w:r>
          </w:p>
        </w:tc>
        <w:tc>
          <w:tcPr>
            <w:tcW w:type="dxa" w:w="2880"/>
          </w:tcPr>
          <w:p>
            <w:pPr>
              <w:jc w:val="right"/>
            </w:pPr>
            <w:r>
              <w:rPr>
                <w:rFonts w:ascii="Arial" w:hAnsi="Arial" w:eastAsia="Arial"/>
              </w:rPr>
              <w:t>4,175,000</w:t>
            </w:r>
          </w:p>
        </w:tc>
        <w:tc>
          <w:tcPr>
            <w:tcW w:type="dxa" w:w="2880"/>
          </w:tcPr>
          <w:p>
            <w:pPr>
              <w:jc w:val="right"/>
            </w:pPr>
            <w:r>
              <w:rPr>
                <w:rFonts w:ascii="Arial" w:hAnsi="Arial" w:eastAsia="Arial"/>
              </w:rPr>
              <w:t>100%</w:t>
            </w:r>
          </w:p>
        </w:tc>
      </w:tr>
    </w:tbl>
    <w:p>
      <w:pPr>
        <w:pStyle w:val="Heading2"/>
        <w:jc w:val="right"/>
      </w:pPr>
      <w:r>
        <w:rPr>
          <w:rFonts w:ascii="Arial" w:hAnsi="Arial" w:eastAsia="Arial"/>
          <w:color w:val="D4A853"/>
        </w:rPr>
        <w:t>8.3 قائمة الدخل لـ 5 سنوات (النموذج المختلط)</w:t>
      </w:r>
    </w:p>
    <w:tbl>
      <w:tblPr>
        <w:tblStyle w:val="LightGrid-Accent1"/>
        <w:tblW w:type="auto" w:w="0"/>
        <w:jc w:val="right"/>
        <w:tblLook w:firstColumn="1" w:firstRow="1" w:lastColumn="0" w:lastRow="0" w:noHBand="0" w:noVBand="1" w:val="04A0"/>
      </w:tblPr>
      <w:tblGrid>
        <w:gridCol w:w="1440"/>
        <w:gridCol w:w="1440"/>
        <w:gridCol w:w="1440"/>
        <w:gridCol w:w="1440"/>
        <w:gridCol w:w="1440"/>
        <w:gridCol w:w="1440"/>
      </w:tblGrid>
      <w:tr>
        <w:tc>
          <w:tcPr>
            <w:tcW w:type="dxa" w:w="1440"/>
            <w:shd w:fill="0A0F1A"/>
          </w:tcPr>
          <w:p>
            <w:pPr>
              <w:jc w:val="right"/>
            </w:pPr>
            <w:r>
              <w:rPr>
                <w:rFonts w:ascii="Arial" w:hAnsi="Arial" w:eastAsia="Arial"/>
                <w:b/>
                <w:color w:val="FFFFFF"/>
              </w:rPr>
              <w:t>البند</w:t>
            </w:r>
          </w:p>
        </w:tc>
        <w:tc>
          <w:tcPr>
            <w:tcW w:type="dxa" w:w="1440"/>
            <w:shd w:fill="0A0F1A"/>
          </w:tcPr>
          <w:p>
            <w:pPr>
              <w:jc w:val="right"/>
            </w:pPr>
            <w:r>
              <w:rPr>
                <w:rFonts w:ascii="Arial" w:hAnsi="Arial" w:eastAsia="Arial"/>
                <w:b/>
                <w:color w:val="FFFFFF"/>
              </w:rPr>
              <w:t>Y1</w:t>
            </w:r>
          </w:p>
        </w:tc>
        <w:tc>
          <w:tcPr>
            <w:tcW w:type="dxa" w:w="1440"/>
            <w:shd w:fill="0A0F1A"/>
          </w:tcPr>
          <w:p>
            <w:pPr>
              <w:jc w:val="right"/>
            </w:pPr>
            <w:r>
              <w:rPr>
                <w:rFonts w:ascii="Arial" w:hAnsi="Arial" w:eastAsia="Arial"/>
                <w:b/>
                <w:color w:val="FFFFFF"/>
              </w:rPr>
              <w:t>Y2</w:t>
            </w:r>
          </w:p>
        </w:tc>
        <w:tc>
          <w:tcPr>
            <w:tcW w:type="dxa" w:w="1440"/>
            <w:shd w:fill="0A0F1A"/>
          </w:tcPr>
          <w:p>
            <w:pPr>
              <w:jc w:val="right"/>
            </w:pPr>
            <w:r>
              <w:rPr>
                <w:rFonts w:ascii="Arial" w:hAnsi="Arial" w:eastAsia="Arial"/>
                <w:b/>
                <w:color w:val="FFFFFF"/>
              </w:rPr>
              <w:t>Y3</w:t>
            </w:r>
          </w:p>
        </w:tc>
        <w:tc>
          <w:tcPr>
            <w:tcW w:type="dxa" w:w="1440"/>
            <w:shd w:fill="0A0F1A"/>
          </w:tcPr>
          <w:p>
            <w:pPr>
              <w:jc w:val="right"/>
            </w:pPr>
            <w:r>
              <w:rPr>
                <w:rFonts w:ascii="Arial" w:hAnsi="Arial" w:eastAsia="Arial"/>
                <w:b/>
                <w:color w:val="FFFFFF"/>
              </w:rPr>
              <w:t>Y4</w:t>
            </w:r>
          </w:p>
        </w:tc>
        <w:tc>
          <w:tcPr>
            <w:tcW w:type="dxa" w:w="1440"/>
            <w:shd w:fill="0A0F1A"/>
          </w:tcPr>
          <w:p>
            <w:pPr>
              <w:jc w:val="right"/>
            </w:pPr>
            <w:r>
              <w:rPr>
                <w:rFonts w:ascii="Arial" w:hAnsi="Arial" w:eastAsia="Arial"/>
                <w:b/>
                <w:color w:val="FFFFFF"/>
              </w:rPr>
              <w:t>Y5</w:t>
            </w:r>
          </w:p>
        </w:tc>
      </w:tr>
      <w:tr>
        <w:tc>
          <w:tcPr>
            <w:tcW w:type="dxa" w:w="1440"/>
          </w:tcPr>
          <w:p>
            <w:pPr>
              <w:jc w:val="right"/>
            </w:pPr>
            <w:r>
              <w:rPr>
                <w:rFonts w:ascii="Arial" w:hAnsi="Arial" w:eastAsia="Arial"/>
              </w:rPr>
              <w:t>البند</w:t>
            </w:r>
          </w:p>
        </w:tc>
        <w:tc>
          <w:tcPr>
            <w:tcW w:type="dxa" w:w="1440"/>
          </w:tcPr>
          <w:p>
            <w:pPr>
              <w:jc w:val="right"/>
            </w:pPr>
            <w:r>
              <w:rPr>
                <w:rFonts w:ascii="Arial" w:hAnsi="Arial" w:eastAsia="Arial"/>
              </w:rPr>
              <w:t>السنة 1</w:t>
            </w:r>
          </w:p>
        </w:tc>
        <w:tc>
          <w:tcPr>
            <w:tcW w:type="dxa" w:w="1440"/>
          </w:tcPr>
          <w:p>
            <w:pPr>
              <w:jc w:val="right"/>
            </w:pPr>
            <w:r>
              <w:rPr>
                <w:rFonts w:ascii="Arial" w:hAnsi="Arial" w:eastAsia="Arial"/>
              </w:rPr>
              <w:t>السنة 2</w:t>
            </w:r>
          </w:p>
        </w:tc>
        <w:tc>
          <w:tcPr>
            <w:tcW w:type="dxa" w:w="1440"/>
          </w:tcPr>
          <w:p>
            <w:pPr>
              <w:jc w:val="right"/>
            </w:pPr>
            <w:r>
              <w:rPr>
                <w:rFonts w:ascii="Arial" w:hAnsi="Arial" w:eastAsia="Arial"/>
              </w:rPr>
              <w:t>السنة 3</w:t>
            </w:r>
          </w:p>
        </w:tc>
        <w:tc>
          <w:tcPr>
            <w:tcW w:type="dxa" w:w="1440"/>
          </w:tcPr>
          <w:p>
            <w:pPr>
              <w:jc w:val="right"/>
            </w:pPr>
            <w:r>
              <w:rPr>
                <w:rFonts w:ascii="Arial" w:hAnsi="Arial" w:eastAsia="Arial"/>
              </w:rPr>
              <w:t>السنة 4</w:t>
            </w:r>
          </w:p>
        </w:tc>
        <w:tc>
          <w:tcPr>
            <w:tcW w:type="dxa" w:w="1440"/>
          </w:tcPr>
          <w:p>
            <w:pPr>
              <w:jc w:val="right"/>
            </w:pPr>
            <w:r>
              <w:rPr>
                <w:rFonts w:ascii="Arial" w:hAnsi="Arial" w:eastAsia="Arial"/>
              </w:rPr>
              <w:t>السنة 5</w:t>
            </w:r>
          </w:p>
        </w:tc>
      </w:tr>
      <w:tr>
        <w:tc>
          <w:tcPr>
            <w:tcW w:type="dxa" w:w="1440"/>
          </w:tcPr>
          <w:p>
            <w:pPr>
              <w:jc w:val="right"/>
            </w:pPr>
            <w:r>
              <w:rPr>
                <w:rFonts w:ascii="Arial" w:hAnsi="Arial" w:eastAsia="Arial"/>
              </w:rPr>
              <w:t>إجمالي الإيرادات (مليون ريال)</w:t>
            </w:r>
          </w:p>
        </w:tc>
        <w:tc>
          <w:tcPr>
            <w:tcW w:type="dxa" w:w="1440"/>
          </w:tcPr>
          <w:p>
            <w:pPr>
              <w:jc w:val="right"/>
            </w:pPr>
            <w:r>
              <w:rPr>
                <w:rFonts w:ascii="Arial" w:hAnsi="Arial" w:eastAsia="Arial"/>
              </w:rPr>
              <w:t>3.2</w:t>
            </w:r>
          </w:p>
        </w:tc>
        <w:tc>
          <w:tcPr>
            <w:tcW w:type="dxa" w:w="1440"/>
          </w:tcPr>
          <w:p>
            <w:pPr>
              <w:jc w:val="right"/>
            </w:pPr>
            <w:r>
              <w:rPr>
                <w:rFonts w:ascii="Arial" w:hAnsi="Arial" w:eastAsia="Arial"/>
              </w:rPr>
              <w:t>6.4</w:t>
            </w:r>
          </w:p>
        </w:tc>
        <w:tc>
          <w:tcPr>
            <w:tcW w:type="dxa" w:w="1440"/>
          </w:tcPr>
          <w:p>
            <w:pPr>
              <w:jc w:val="right"/>
            </w:pPr>
            <w:r>
              <w:rPr>
                <w:rFonts w:ascii="Arial" w:hAnsi="Arial" w:eastAsia="Arial"/>
              </w:rPr>
              <w:t>9.6</w:t>
            </w:r>
          </w:p>
        </w:tc>
        <w:tc>
          <w:tcPr>
            <w:tcW w:type="dxa" w:w="1440"/>
          </w:tcPr>
          <w:p>
            <w:pPr>
              <w:jc w:val="right"/>
            </w:pPr>
            <w:r>
              <w:rPr>
                <w:rFonts w:ascii="Arial" w:hAnsi="Arial" w:eastAsia="Arial"/>
              </w:rPr>
              <w:t>12.8</w:t>
            </w:r>
          </w:p>
        </w:tc>
        <w:tc>
          <w:tcPr>
            <w:tcW w:type="dxa" w:w="1440"/>
          </w:tcPr>
          <w:p>
            <w:pPr>
              <w:jc w:val="right"/>
            </w:pPr>
            <w:r>
              <w:rPr>
                <w:rFonts w:ascii="Arial" w:hAnsi="Arial" w:eastAsia="Arial"/>
              </w:rPr>
              <w:t>16.0</w:t>
            </w:r>
          </w:p>
        </w:tc>
      </w:tr>
      <w:tr>
        <w:tc>
          <w:tcPr>
            <w:tcW w:type="dxa" w:w="1440"/>
          </w:tcPr>
          <w:p>
            <w:pPr>
              <w:jc w:val="right"/>
            </w:pPr>
            <w:r>
              <w:rPr>
                <w:rFonts w:ascii="Arial" w:hAnsi="Arial" w:eastAsia="Arial"/>
              </w:rPr>
              <w:t>التكاليف المباشرة</w:t>
            </w:r>
          </w:p>
        </w:tc>
        <w:tc>
          <w:tcPr>
            <w:tcW w:type="dxa" w:w="1440"/>
          </w:tcPr>
          <w:p>
            <w:pPr>
              <w:jc w:val="right"/>
            </w:pPr>
            <w:r>
              <w:rPr>
                <w:rFonts w:ascii="Arial" w:hAnsi="Arial" w:eastAsia="Arial"/>
              </w:rPr>
              <w:t>-0.4</w:t>
            </w:r>
          </w:p>
        </w:tc>
        <w:tc>
          <w:tcPr>
            <w:tcW w:type="dxa" w:w="1440"/>
          </w:tcPr>
          <w:p>
            <w:pPr>
              <w:jc w:val="right"/>
            </w:pPr>
            <w:r>
              <w:rPr>
                <w:rFonts w:ascii="Arial" w:hAnsi="Arial" w:eastAsia="Arial"/>
              </w:rPr>
              <w:t>-0.8</w:t>
            </w:r>
          </w:p>
        </w:tc>
        <w:tc>
          <w:tcPr>
            <w:tcW w:type="dxa" w:w="1440"/>
          </w:tcPr>
          <w:p>
            <w:pPr>
              <w:jc w:val="right"/>
            </w:pPr>
            <w:r>
              <w:rPr>
                <w:rFonts w:ascii="Arial" w:hAnsi="Arial" w:eastAsia="Arial"/>
              </w:rPr>
              <w:t>-1.2</w:t>
            </w:r>
          </w:p>
        </w:tc>
        <w:tc>
          <w:tcPr>
            <w:tcW w:type="dxa" w:w="1440"/>
          </w:tcPr>
          <w:p>
            <w:pPr>
              <w:jc w:val="right"/>
            </w:pPr>
            <w:r>
              <w:rPr>
                <w:rFonts w:ascii="Arial" w:hAnsi="Arial" w:eastAsia="Arial"/>
              </w:rPr>
              <w:t>-1.6</w:t>
            </w:r>
          </w:p>
        </w:tc>
        <w:tc>
          <w:tcPr>
            <w:tcW w:type="dxa" w:w="1440"/>
          </w:tcPr>
          <w:p>
            <w:pPr>
              <w:jc w:val="right"/>
            </w:pPr>
            <w:r>
              <w:rPr>
                <w:rFonts w:ascii="Arial" w:hAnsi="Arial" w:eastAsia="Arial"/>
              </w:rPr>
              <w:t>-2.0</w:t>
            </w:r>
          </w:p>
        </w:tc>
      </w:tr>
      <w:tr>
        <w:tc>
          <w:tcPr>
            <w:tcW w:type="dxa" w:w="1440"/>
          </w:tcPr>
          <w:p>
            <w:pPr>
              <w:jc w:val="right"/>
            </w:pPr>
            <w:r>
              <w:rPr>
                <w:rFonts w:ascii="Arial" w:hAnsi="Arial" w:eastAsia="Arial"/>
              </w:rPr>
              <w:t>تكاليف التشغيل</w:t>
            </w:r>
          </w:p>
        </w:tc>
        <w:tc>
          <w:tcPr>
            <w:tcW w:type="dxa" w:w="1440"/>
          </w:tcPr>
          <w:p>
            <w:pPr>
              <w:jc w:val="right"/>
            </w:pPr>
            <w:r>
              <w:rPr>
                <w:rFonts w:ascii="Arial" w:hAnsi="Arial" w:eastAsia="Arial"/>
              </w:rPr>
              <w:t>-3.2</w:t>
            </w:r>
          </w:p>
        </w:tc>
        <w:tc>
          <w:tcPr>
            <w:tcW w:type="dxa" w:w="1440"/>
          </w:tcPr>
          <w:p>
            <w:pPr>
              <w:jc w:val="right"/>
            </w:pPr>
            <w:r>
              <w:rPr>
                <w:rFonts w:ascii="Arial" w:hAnsi="Arial" w:eastAsia="Arial"/>
              </w:rPr>
              <w:t>-3.2</w:t>
            </w:r>
          </w:p>
        </w:tc>
        <w:tc>
          <w:tcPr>
            <w:tcW w:type="dxa" w:w="1440"/>
          </w:tcPr>
          <w:p>
            <w:pPr>
              <w:jc w:val="right"/>
            </w:pPr>
            <w:r>
              <w:rPr>
                <w:rFonts w:ascii="Arial" w:hAnsi="Arial" w:eastAsia="Arial"/>
              </w:rPr>
              <w:t>-3.5</w:t>
            </w:r>
          </w:p>
        </w:tc>
        <w:tc>
          <w:tcPr>
            <w:tcW w:type="dxa" w:w="1440"/>
          </w:tcPr>
          <w:p>
            <w:pPr>
              <w:jc w:val="right"/>
            </w:pPr>
            <w:r>
              <w:rPr>
                <w:rFonts w:ascii="Arial" w:hAnsi="Arial" w:eastAsia="Arial"/>
              </w:rPr>
              <w:t>-3.8</w:t>
            </w:r>
          </w:p>
        </w:tc>
        <w:tc>
          <w:tcPr>
            <w:tcW w:type="dxa" w:w="1440"/>
          </w:tcPr>
          <w:p>
            <w:pPr>
              <w:jc w:val="right"/>
            </w:pPr>
            <w:r>
              <w:rPr>
                <w:rFonts w:ascii="Arial" w:hAnsi="Arial" w:eastAsia="Arial"/>
              </w:rPr>
              <w:t>-4.0</w:t>
            </w:r>
          </w:p>
        </w:tc>
      </w:tr>
      <w:tr>
        <w:tc>
          <w:tcPr>
            <w:tcW w:type="dxa" w:w="1440"/>
          </w:tcPr>
          <w:p>
            <w:pPr>
              <w:jc w:val="right"/>
            </w:pPr>
            <w:r>
              <w:rPr>
                <w:rFonts w:ascii="Arial" w:hAnsi="Arial" w:eastAsia="Arial"/>
              </w:rPr>
              <w:t>صافي الربح قبل الزكاة</w:t>
            </w:r>
          </w:p>
        </w:tc>
        <w:tc>
          <w:tcPr>
            <w:tcW w:type="dxa" w:w="1440"/>
          </w:tcPr>
          <w:p>
            <w:pPr>
              <w:jc w:val="right"/>
            </w:pPr>
            <w:r>
              <w:rPr>
                <w:rFonts w:ascii="Arial" w:hAnsi="Arial" w:eastAsia="Arial"/>
              </w:rPr>
              <w:t>-0.5</w:t>
            </w:r>
          </w:p>
        </w:tc>
        <w:tc>
          <w:tcPr>
            <w:tcW w:type="dxa" w:w="1440"/>
          </w:tcPr>
          <w:p>
            <w:pPr>
              <w:jc w:val="right"/>
            </w:pPr>
            <w:r>
              <w:rPr>
                <w:rFonts w:ascii="Arial" w:hAnsi="Arial" w:eastAsia="Arial"/>
              </w:rPr>
              <w:t>2.4</w:t>
            </w:r>
          </w:p>
        </w:tc>
        <w:tc>
          <w:tcPr>
            <w:tcW w:type="dxa" w:w="1440"/>
          </w:tcPr>
          <w:p>
            <w:pPr>
              <w:jc w:val="right"/>
            </w:pPr>
            <w:r>
              <w:rPr>
                <w:rFonts w:ascii="Arial" w:hAnsi="Arial" w:eastAsia="Arial"/>
              </w:rPr>
              <w:t>5.0</w:t>
            </w:r>
          </w:p>
        </w:tc>
        <w:tc>
          <w:tcPr>
            <w:tcW w:type="dxa" w:w="1440"/>
          </w:tcPr>
          <w:p>
            <w:pPr>
              <w:jc w:val="right"/>
            </w:pPr>
            <w:r>
              <w:rPr>
                <w:rFonts w:ascii="Arial" w:hAnsi="Arial" w:eastAsia="Arial"/>
              </w:rPr>
              <w:t>7.7</w:t>
            </w:r>
          </w:p>
        </w:tc>
        <w:tc>
          <w:tcPr>
            <w:tcW w:type="dxa" w:w="1440"/>
          </w:tcPr>
          <w:p>
            <w:pPr>
              <w:jc w:val="right"/>
            </w:pPr>
            <w:r>
              <w:rPr>
                <w:rFonts w:ascii="Arial" w:hAnsi="Arial" w:eastAsia="Arial"/>
              </w:rPr>
              <w:t>10.4</w:t>
            </w:r>
          </w:p>
        </w:tc>
      </w:tr>
    </w:tbl>
    <w:p>
      <w:r>
        <w:br w:type="page"/>
      </w:r>
    </w:p>
    <w:p>
      <w:pPr>
        <w:pStyle w:val="Heading1"/>
        <w:jc w:val="right"/>
      </w:pPr>
      <w:r>
        <w:rPr>
          <w:rFonts w:ascii="Arial" w:hAnsi="Arial" w:eastAsia="Arial"/>
          <w:color w:val="003366"/>
        </w:rPr>
        <w:t>9. الجداول المالية التفصيلية</w:t>
      </w:r>
    </w:p>
    <w:p>
      <w:pPr>
        <w:jc w:val="right"/>
      </w:pPr>
      <w:r>
        <w:rPr>
          <w:rFonts w:ascii="Arial" w:hAnsi="Arial" w:eastAsia="Arial"/>
          <w:b w:val="0"/>
          <w:i w:val="0"/>
          <w:sz w:val="24"/>
        </w:rPr>
        <w:t>يتضمن النموذج المالي التفصيلي التدفقات النقدية الشهرية للسنة الأولى، وتفاصيل تكاليف المشروع، ومؤشرات العائد. يفترض النموذج بدءاً تدريجياً بمشروعين إلى ثلاثة في السنة الأولى، والوصول إلى 10 مشاريع في السنة الخامسة.</w:t>
      </w:r>
    </w:p>
    <w:p>
      <w:pPr>
        <w:pStyle w:val="Heading2"/>
        <w:jc w:val="right"/>
      </w:pPr>
      <w:r>
        <w:rPr>
          <w:rFonts w:ascii="Arial" w:hAnsi="Arial" w:eastAsia="Arial"/>
          <w:color w:val="D4A853"/>
        </w:rPr>
        <w:t>9.1 مؤشرات العائد</w:t>
      </w:r>
    </w:p>
    <w:tbl>
      <w:tblPr>
        <w:tblStyle w:val="LightGrid-Accent1"/>
        <w:tblW w:type="auto" w:w="0"/>
        <w:jc w:val="right"/>
        <w:tblLook w:firstColumn="1" w:firstRow="1" w:lastColumn="0" w:lastRow="0" w:noHBand="0" w:noVBand="1" w:val="04A0"/>
      </w:tblPr>
      <w:tblGrid>
        <w:gridCol w:w="4320"/>
        <w:gridCol w:w="4320"/>
      </w:tblGrid>
      <w:tr>
        <w:tc>
          <w:tcPr>
            <w:tcW w:type="dxa" w:w="4320"/>
            <w:shd w:fill="0A0F1A"/>
          </w:tcPr>
          <w:p>
            <w:pPr>
              <w:jc w:val="right"/>
            </w:pPr>
            <w:r>
              <w:rPr>
                <w:rFonts w:ascii="Arial" w:hAnsi="Arial" w:eastAsia="Arial"/>
                <w:b/>
                <w:color w:val="FFFFFF"/>
              </w:rPr>
              <w:t>المؤشر</w:t>
            </w:r>
          </w:p>
        </w:tc>
        <w:tc>
          <w:tcPr>
            <w:tcW w:type="dxa" w:w="4320"/>
            <w:shd w:fill="0A0F1A"/>
          </w:tcPr>
          <w:p>
            <w:pPr>
              <w:jc w:val="right"/>
            </w:pPr>
            <w:r>
              <w:rPr>
                <w:rFonts w:ascii="Arial" w:hAnsi="Arial" w:eastAsia="Arial"/>
                <w:b/>
                <w:color w:val="FFFFFF"/>
              </w:rPr>
              <w:t>القيمة</w:t>
            </w:r>
          </w:p>
        </w:tc>
      </w:tr>
      <w:tr>
        <w:tc>
          <w:tcPr>
            <w:tcW w:type="dxa" w:w="4320"/>
          </w:tcPr>
          <w:p>
            <w:pPr>
              <w:jc w:val="right"/>
            </w:pPr>
            <w:r>
              <w:rPr>
                <w:rFonts w:ascii="Arial" w:hAnsi="Arial" w:eastAsia="Arial"/>
              </w:rPr>
              <w:t>المؤشر</w:t>
            </w:r>
          </w:p>
        </w:tc>
        <w:tc>
          <w:tcPr>
            <w:tcW w:type="dxa" w:w="4320"/>
          </w:tcPr>
          <w:p>
            <w:pPr>
              <w:jc w:val="right"/>
            </w:pPr>
            <w:r>
              <w:rPr>
                <w:rFonts w:ascii="Arial" w:hAnsi="Arial" w:eastAsia="Arial"/>
              </w:rPr>
              <w:t>القيمة</w:t>
            </w:r>
          </w:p>
        </w:tc>
      </w:tr>
      <w:tr>
        <w:tc>
          <w:tcPr>
            <w:tcW w:type="dxa" w:w="4320"/>
          </w:tcPr>
          <w:p>
            <w:pPr>
              <w:jc w:val="right"/>
            </w:pPr>
            <w:r>
              <w:rPr>
                <w:rFonts w:ascii="Arial" w:hAnsi="Arial" w:eastAsia="Arial"/>
              </w:rPr>
              <w:t>عائد رأس المال عند الخروج (سنوات 5-7)</w:t>
            </w:r>
          </w:p>
        </w:tc>
        <w:tc>
          <w:tcPr>
            <w:tcW w:type="dxa" w:w="4320"/>
          </w:tcPr>
          <w:p>
            <w:pPr>
              <w:jc w:val="right"/>
            </w:pPr>
            <w:r>
              <w:rPr>
                <w:rFonts w:ascii="Arial" w:hAnsi="Arial" w:eastAsia="Arial"/>
              </w:rPr>
              <w:t>2.5x - 4x</w:t>
            </w:r>
          </w:p>
        </w:tc>
      </w:tr>
      <w:tr>
        <w:tc>
          <w:tcPr>
            <w:tcW w:type="dxa" w:w="4320"/>
          </w:tcPr>
          <w:p>
            <w:pPr>
              <w:jc w:val="right"/>
            </w:pPr>
            <w:r>
              <w:rPr>
                <w:rFonts w:ascii="Arial" w:hAnsi="Arial" w:eastAsia="Arial"/>
              </w:rPr>
              <w:t>IRR المتوقع (10 سنوات)</w:t>
            </w:r>
          </w:p>
        </w:tc>
        <w:tc>
          <w:tcPr>
            <w:tcW w:type="dxa" w:w="4320"/>
          </w:tcPr>
          <w:p>
            <w:pPr>
              <w:jc w:val="right"/>
            </w:pPr>
            <w:r>
              <w:rPr>
                <w:rFonts w:ascii="Arial" w:hAnsi="Arial" w:eastAsia="Arial"/>
              </w:rPr>
              <w:t>18.5%+</w:t>
            </w:r>
          </w:p>
        </w:tc>
      </w:tr>
      <w:tr>
        <w:tc>
          <w:tcPr>
            <w:tcW w:type="dxa" w:w="4320"/>
          </w:tcPr>
          <w:p>
            <w:pPr>
              <w:jc w:val="right"/>
            </w:pPr>
            <w:r>
              <w:rPr>
                <w:rFonts w:ascii="Arial" w:hAnsi="Arial" w:eastAsia="Arial"/>
              </w:rPr>
              <w:t>القيمة السوقية المتوقعة (السنة 5)</w:t>
            </w:r>
          </w:p>
        </w:tc>
        <w:tc>
          <w:tcPr>
            <w:tcW w:type="dxa" w:w="4320"/>
          </w:tcPr>
          <w:p>
            <w:pPr>
              <w:jc w:val="right"/>
            </w:pPr>
            <w:r>
              <w:rPr>
                <w:rFonts w:ascii="Arial" w:hAnsi="Arial" w:eastAsia="Arial"/>
              </w:rPr>
              <w:t>75 - 94 مليون ريال</w:t>
            </w:r>
          </w:p>
        </w:tc>
      </w:tr>
      <w:tr>
        <w:tc>
          <w:tcPr>
            <w:tcW w:type="dxa" w:w="4320"/>
          </w:tcPr>
          <w:p>
            <w:pPr>
              <w:jc w:val="right"/>
            </w:pPr>
            <w:r>
              <w:rPr>
                <w:rFonts w:ascii="Arial" w:hAnsi="Arial" w:eastAsia="Arial"/>
              </w:rPr>
              <w:t>فترة استرداد رأس المال</w:t>
            </w:r>
          </w:p>
        </w:tc>
        <w:tc>
          <w:tcPr>
            <w:tcW w:type="dxa" w:w="4320"/>
          </w:tcPr>
          <w:p>
            <w:pPr>
              <w:jc w:val="right"/>
            </w:pPr>
            <w:r>
              <w:rPr>
                <w:rFonts w:ascii="Arial" w:hAnsi="Arial" w:eastAsia="Arial"/>
              </w:rPr>
              <w:t>6 سنوات</w:t>
            </w:r>
          </w:p>
        </w:tc>
      </w:tr>
    </w:tbl>
    <w:p>
      <w:pPr>
        <w:pStyle w:val="Heading2"/>
        <w:jc w:val="right"/>
      </w:pPr>
      <w:r>
        <w:rPr>
          <w:rFonts w:ascii="Arial" w:hAnsi="Arial" w:eastAsia="Arial"/>
          <w:color w:val="D4A853"/>
        </w:rPr>
        <w:t>9.2 الإسقاط طويل المدى (سنوات 6-10)</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shd w:fill="0A0F1A"/>
          </w:tcPr>
          <w:p>
            <w:pPr>
              <w:jc w:val="right"/>
            </w:pPr>
            <w:r>
              <w:rPr>
                <w:rFonts w:ascii="Arial" w:hAnsi="Arial" w:eastAsia="Arial"/>
                <w:b/>
                <w:color w:val="FFFFFF"/>
              </w:rPr>
              <w:t>السنة</w:t>
            </w:r>
          </w:p>
        </w:tc>
        <w:tc>
          <w:tcPr>
            <w:tcW w:type="dxa" w:w="2160"/>
            <w:shd w:fill="0A0F1A"/>
          </w:tcPr>
          <w:p>
            <w:pPr>
              <w:jc w:val="right"/>
            </w:pPr>
            <w:r>
              <w:rPr>
                <w:rFonts w:ascii="Arial" w:hAnsi="Arial" w:eastAsia="Arial"/>
                <w:b/>
                <w:color w:val="FFFFFF"/>
              </w:rPr>
              <w:t>المشاريع</w:t>
            </w:r>
          </w:p>
        </w:tc>
        <w:tc>
          <w:tcPr>
            <w:tcW w:type="dxa" w:w="2160"/>
            <w:shd w:fill="0A0F1A"/>
          </w:tcPr>
          <w:p>
            <w:pPr>
              <w:jc w:val="right"/>
            </w:pPr>
            <w:r>
              <w:rPr>
                <w:rFonts w:ascii="Arial" w:hAnsi="Arial" w:eastAsia="Arial"/>
                <w:b/>
                <w:color w:val="FFFFFF"/>
              </w:rPr>
              <w:t>الإيرادات</w:t>
            </w:r>
          </w:p>
        </w:tc>
        <w:tc>
          <w:tcPr>
            <w:tcW w:type="dxa" w:w="2160"/>
            <w:shd w:fill="0A0F1A"/>
          </w:tcPr>
          <w:p>
            <w:pPr>
              <w:jc w:val="right"/>
            </w:pPr>
            <w:r>
              <w:rPr>
                <w:rFonts w:ascii="Arial" w:hAnsi="Arial" w:eastAsia="Arial"/>
                <w:b/>
                <w:color w:val="FFFFFF"/>
              </w:rPr>
              <w:t>صافي الربح</w:t>
            </w:r>
          </w:p>
        </w:tc>
      </w:tr>
      <w:tr>
        <w:tc>
          <w:tcPr>
            <w:tcW w:type="dxa" w:w="2160"/>
          </w:tcPr>
          <w:p>
            <w:pPr>
              <w:jc w:val="right"/>
            </w:pPr>
            <w:r>
              <w:rPr>
                <w:rFonts w:ascii="Arial" w:hAnsi="Arial" w:eastAsia="Arial"/>
              </w:rPr>
              <w:t>السنة</w:t>
            </w:r>
          </w:p>
        </w:tc>
        <w:tc>
          <w:tcPr>
            <w:tcW w:type="dxa" w:w="2160"/>
          </w:tcPr>
          <w:p>
            <w:pPr>
              <w:jc w:val="right"/>
            </w:pPr>
            <w:r>
              <w:rPr>
                <w:rFonts w:ascii="Arial" w:hAnsi="Arial" w:eastAsia="Arial"/>
              </w:rPr>
              <w:t>المشاريع</w:t>
            </w:r>
          </w:p>
        </w:tc>
        <w:tc>
          <w:tcPr>
            <w:tcW w:type="dxa" w:w="2160"/>
          </w:tcPr>
          <w:p>
            <w:pPr>
              <w:jc w:val="right"/>
            </w:pPr>
            <w:r>
              <w:rPr>
                <w:rFonts w:ascii="Arial" w:hAnsi="Arial" w:eastAsia="Arial"/>
              </w:rPr>
              <w:t>الإيرادات (مليون ريال)</w:t>
            </w:r>
          </w:p>
        </w:tc>
        <w:tc>
          <w:tcPr>
            <w:tcW w:type="dxa" w:w="2160"/>
          </w:tcPr>
          <w:p>
            <w:pPr>
              <w:jc w:val="right"/>
            </w:pPr>
            <w:r>
              <w:rPr>
                <w:rFonts w:ascii="Arial" w:hAnsi="Arial" w:eastAsia="Arial"/>
              </w:rPr>
              <w:t>صافي الربح (مليون ريال)</w:t>
            </w:r>
          </w:p>
        </w:tc>
      </w:tr>
      <w:tr>
        <w:tc>
          <w:tcPr>
            <w:tcW w:type="dxa" w:w="2160"/>
          </w:tcPr>
          <w:p>
            <w:pPr>
              <w:jc w:val="right"/>
            </w:pPr>
            <w:r>
              <w:rPr>
                <w:rFonts w:ascii="Arial" w:hAnsi="Arial" w:eastAsia="Arial"/>
              </w:rPr>
              <w:t>6</w:t>
            </w:r>
          </w:p>
        </w:tc>
        <w:tc>
          <w:tcPr>
            <w:tcW w:type="dxa" w:w="2160"/>
          </w:tcPr>
          <w:p>
            <w:pPr>
              <w:jc w:val="right"/>
            </w:pPr>
            <w:r>
              <w:rPr>
                <w:rFonts w:ascii="Arial" w:hAnsi="Arial" w:eastAsia="Arial"/>
              </w:rPr>
              <w:t>12</w:t>
            </w:r>
          </w:p>
        </w:tc>
        <w:tc>
          <w:tcPr>
            <w:tcW w:type="dxa" w:w="2160"/>
          </w:tcPr>
          <w:p>
            <w:pPr>
              <w:jc w:val="right"/>
            </w:pPr>
            <w:r>
              <w:rPr>
                <w:rFonts w:ascii="Arial" w:hAnsi="Arial" w:eastAsia="Arial"/>
              </w:rPr>
              <w:t>19.2</w:t>
            </w:r>
          </w:p>
        </w:tc>
        <w:tc>
          <w:tcPr>
            <w:tcW w:type="dxa" w:w="2160"/>
          </w:tcPr>
          <w:p>
            <w:pPr>
              <w:jc w:val="right"/>
            </w:pPr>
            <w:r>
              <w:rPr>
                <w:rFonts w:ascii="Arial" w:hAnsi="Arial" w:eastAsia="Arial"/>
              </w:rPr>
              <w:t>6.0+</w:t>
            </w:r>
          </w:p>
        </w:tc>
      </w:tr>
      <w:tr>
        <w:tc>
          <w:tcPr>
            <w:tcW w:type="dxa" w:w="2160"/>
          </w:tcPr>
          <w:p>
            <w:pPr>
              <w:jc w:val="right"/>
            </w:pPr>
            <w:r>
              <w:rPr>
                <w:rFonts w:ascii="Arial" w:hAnsi="Arial" w:eastAsia="Arial"/>
              </w:rPr>
              <w:t>7</w:t>
            </w:r>
          </w:p>
        </w:tc>
        <w:tc>
          <w:tcPr>
            <w:tcW w:type="dxa" w:w="2160"/>
          </w:tcPr>
          <w:p>
            <w:pPr>
              <w:jc w:val="right"/>
            </w:pPr>
            <w:r>
              <w:rPr>
                <w:rFonts w:ascii="Arial" w:hAnsi="Arial" w:eastAsia="Arial"/>
              </w:rPr>
              <w:t>14</w:t>
            </w:r>
          </w:p>
        </w:tc>
        <w:tc>
          <w:tcPr>
            <w:tcW w:type="dxa" w:w="2160"/>
          </w:tcPr>
          <w:p>
            <w:pPr>
              <w:jc w:val="right"/>
            </w:pPr>
            <w:r>
              <w:rPr>
                <w:rFonts w:ascii="Arial" w:hAnsi="Arial" w:eastAsia="Arial"/>
              </w:rPr>
              <w:t>22.4</w:t>
            </w:r>
          </w:p>
        </w:tc>
        <w:tc>
          <w:tcPr>
            <w:tcW w:type="dxa" w:w="2160"/>
          </w:tcPr>
          <w:p>
            <w:pPr>
              <w:jc w:val="right"/>
            </w:pPr>
            <w:r>
              <w:rPr>
                <w:rFonts w:ascii="Arial" w:hAnsi="Arial" w:eastAsia="Arial"/>
              </w:rPr>
              <w:t>8.0+</w:t>
            </w:r>
          </w:p>
        </w:tc>
      </w:tr>
      <w:tr>
        <w:tc>
          <w:tcPr>
            <w:tcW w:type="dxa" w:w="2160"/>
          </w:tcPr>
          <w:p>
            <w:pPr>
              <w:jc w:val="right"/>
            </w:pPr>
            <w:r>
              <w:rPr>
                <w:rFonts w:ascii="Arial" w:hAnsi="Arial" w:eastAsia="Arial"/>
              </w:rPr>
              <w:t>8</w:t>
            </w:r>
          </w:p>
        </w:tc>
        <w:tc>
          <w:tcPr>
            <w:tcW w:type="dxa" w:w="2160"/>
          </w:tcPr>
          <w:p>
            <w:pPr>
              <w:jc w:val="right"/>
            </w:pPr>
            <w:r>
              <w:rPr>
                <w:rFonts w:ascii="Arial" w:hAnsi="Arial" w:eastAsia="Arial"/>
              </w:rPr>
              <w:t>16</w:t>
            </w:r>
          </w:p>
        </w:tc>
        <w:tc>
          <w:tcPr>
            <w:tcW w:type="dxa" w:w="2160"/>
          </w:tcPr>
          <w:p>
            <w:pPr>
              <w:jc w:val="right"/>
            </w:pPr>
            <w:r>
              <w:rPr>
                <w:rFonts w:ascii="Arial" w:hAnsi="Arial" w:eastAsia="Arial"/>
              </w:rPr>
              <w:t>25.6</w:t>
            </w:r>
          </w:p>
        </w:tc>
        <w:tc>
          <w:tcPr>
            <w:tcW w:type="dxa" w:w="2160"/>
          </w:tcPr>
          <w:p>
            <w:pPr>
              <w:jc w:val="right"/>
            </w:pPr>
            <w:r>
              <w:rPr>
                <w:rFonts w:ascii="Arial" w:hAnsi="Arial" w:eastAsia="Arial"/>
              </w:rPr>
              <w:t>10.0+</w:t>
            </w:r>
          </w:p>
        </w:tc>
      </w:tr>
      <w:tr>
        <w:tc>
          <w:tcPr>
            <w:tcW w:type="dxa" w:w="2160"/>
          </w:tcPr>
          <w:p>
            <w:pPr>
              <w:jc w:val="right"/>
            </w:pPr>
            <w:r>
              <w:rPr>
                <w:rFonts w:ascii="Arial" w:hAnsi="Arial" w:eastAsia="Arial"/>
              </w:rPr>
              <w:t>9</w:t>
            </w:r>
          </w:p>
        </w:tc>
        <w:tc>
          <w:tcPr>
            <w:tcW w:type="dxa" w:w="2160"/>
          </w:tcPr>
          <w:p>
            <w:pPr>
              <w:jc w:val="right"/>
            </w:pPr>
            <w:r>
              <w:rPr>
                <w:rFonts w:ascii="Arial" w:hAnsi="Arial" w:eastAsia="Arial"/>
              </w:rPr>
              <w:t>18</w:t>
            </w:r>
          </w:p>
        </w:tc>
        <w:tc>
          <w:tcPr>
            <w:tcW w:type="dxa" w:w="2160"/>
          </w:tcPr>
          <w:p>
            <w:pPr>
              <w:jc w:val="right"/>
            </w:pPr>
            <w:r>
              <w:rPr>
                <w:rFonts w:ascii="Arial" w:hAnsi="Arial" w:eastAsia="Arial"/>
              </w:rPr>
              <w:t>28.8</w:t>
            </w:r>
          </w:p>
        </w:tc>
        <w:tc>
          <w:tcPr>
            <w:tcW w:type="dxa" w:w="2160"/>
          </w:tcPr>
          <w:p>
            <w:pPr>
              <w:jc w:val="right"/>
            </w:pPr>
            <w:r>
              <w:rPr>
                <w:rFonts w:ascii="Arial" w:hAnsi="Arial" w:eastAsia="Arial"/>
              </w:rPr>
              <w:t>12.0+</w:t>
            </w:r>
          </w:p>
        </w:tc>
      </w:tr>
      <w:tr>
        <w:tc>
          <w:tcPr>
            <w:tcW w:type="dxa" w:w="2160"/>
          </w:tcPr>
          <w:p>
            <w:pPr>
              <w:jc w:val="right"/>
            </w:pPr>
            <w:r>
              <w:rPr>
                <w:rFonts w:ascii="Arial" w:hAnsi="Arial" w:eastAsia="Arial"/>
              </w:rPr>
              <w:t>10</w:t>
            </w:r>
          </w:p>
        </w:tc>
        <w:tc>
          <w:tcPr>
            <w:tcW w:type="dxa" w:w="2160"/>
          </w:tcPr>
          <w:p>
            <w:pPr>
              <w:jc w:val="right"/>
            </w:pPr>
            <w:r>
              <w:rPr>
                <w:rFonts w:ascii="Arial" w:hAnsi="Arial" w:eastAsia="Arial"/>
              </w:rPr>
              <w:t>20</w:t>
            </w:r>
          </w:p>
        </w:tc>
        <w:tc>
          <w:tcPr>
            <w:tcW w:type="dxa" w:w="2160"/>
          </w:tcPr>
          <w:p>
            <w:pPr>
              <w:jc w:val="right"/>
            </w:pPr>
            <w:r>
              <w:rPr>
                <w:rFonts w:ascii="Arial" w:hAnsi="Arial" w:eastAsia="Arial"/>
              </w:rPr>
              <w:t>32.0</w:t>
            </w:r>
          </w:p>
        </w:tc>
        <w:tc>
          <w:tcPr>
            <w:tcW w:type="dxa" w:w="2160"/>
          </w:tcPr>
          <w:p>
            <w:pPr>
              <w:jc w:val="right"/>
            </w:pPr>
            <w:r>
              <w:rPr>
                <w:rFonts w:ascii="Arial" w:hAnsi="Arial" w:eastAsia="Arial"/>
              </w:rPr>
              <w:t>14.0+</w:t>
            </w:r>
          </w:p>
        </w:tc>
      </w:tr>
    </w:tbl>
    <w:p>
      <w:r>
        <w:br w:type="page"/>
      </w:r>
    </w:p>
    <w:p>
      <w:pPr>
        <w:pStyle w:val="Heading1"/>
        <w:jc w:val="right"/>
      </w:pPr>
      <w:r>
        <w:rPr>
          <w:rFonts w:ascii="Arial" w:hAnsi="Arial" w:eastAsia="Arial"/>
          <w:color w:val="003366"/>
        </w:rPr>
        <w:t>10. تحليل التعادل والحساسية</w:t>
      </w:r>
    </w:p>
    <w:p>
      <w:pPr>
        <w:pStyle w:val="Heading2"/>
        <w:jc w:val="right"/>
      </w:pPr>
      <w:r>
        <w:rPr>
          <w:rFonts w:ascii="Arial" w:hAnsi="Arial" w:eastAsia="Arial"/>
          <w:color w:val="D4A853"/>
        </w:rPr>
        <w:t>10.1 نقطة التعادل</w:t>
      </w:r>
    </w:p>
    <w:p>
      <w:pPr>
        <w:jc w:val="right"/>
      </w:pPr>
      <w:r>
        <w:rPr>
          <w:rFonts w:ascii="Arial" w:hAnsi="Arial" w:eastAsia="Arial"/>
          <w:b w:val="0"/>
          <w:i w:val="0"/>
          <w:sz w:val="24"/>
        </w:rPr>
        <w:t>في النموذج المختلط، تصل الشركة للتعادل التشغيلي بحوالي 5-6 مشاريع سنوياً. هذا يفترض مزيجاً متوازناً من إيرادات المحاصة والشراء الجزئي ورسوم الإدارة.</w:t>
      </w:r>
    </w:p>
    <w:p>
      <w:pPr>
        <w:pStyle w:val="Heading2"/>
        <w:jc w:val="right"/>
      </w:pPr>
      <w:r>
        <w:rPr>
          <w:rFonts w:ascii="Arial" w:hAnsi="Arial" w:eastAsia="Arial"/>
          <w:color w:val="D4A853"/>
        </w:rPr>
        <w:t>10.2 تحليل الحساسية</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shd w:fill="0A0F1A"/>
          </w:tcPr>
          <w:p>
            <w:pPr>
              <w:jc w:val="right"/>
            </w:pPr>
            <w:r>
              <w:rPr>
                <w:rFonts w:ascii="Arial" w:hAnsi="Arial" w:eastAsia="Arial"/>
                <w:b/>
                <w:color w:val="FFFFFF"/>
              </w:rPr>
              <w:t>تغير السعر</w:t>
            </w:r>
          </w:p>
        </w:tc>
        <w:tc>
          <w:tcPr>
            <w:tcW w:type="dxa" w:w="2880"/>
            <w:shd w:fill="0A0F1A"/>
          </w:tcPr>
          <w:p>
            <w:pPr>
              <w:jc w:val="right"/>
            </w:pPr>
            <w:r>
              <w:rPr>
                <w:rFonts w:ascii="Arial" w:hAnsi="Arial" w:eastAsia="Arial"/>
                <w:b/>
                <w:color w:val="FFFFFF"/>
              </w:rPr>
              <w:t>Y3</w:t>
            </w:r>
          </w:p>
        </w:tc>
        <w:tc>
          <w:tcPr>
            <w:tcW w:type="dxa" w:w="2880"/>
            <w:shd w:fill="0A0F1A"/>
          </w:tcPr>
          <w:p>
            <w:pPr>
              <w:jc w:val="right"/>
            </w:pPr>
            <w:r>
              <w:rPr>
                <w:rFonts w:ascii="Arial" w:hAnsi="Arial" w:eastAsia="Arial"/>
                <w:b/>
                <w:color w:val="FFFFFF"/>
              </w:rPr>
              <w:t>Y5</w:t>
            </w:r>
          </w:p>
        </w:tc>
      </w:tr>
      <w:tr>
        <w:tc>
          <w:tcPr>
            <w:tcW w:type="dxa" w:w="2880"/>
          </w:tcPr>
          <w:p>
            <w:pPr>
              <w:jc w:val="right"/>
            </w:pPr>
            <w:r>
              <w:rPr>
                <w:rFonts w:ascii="Arial" w:hAnsi="Arial" w:eastAsia="Arial"/>
              </w:rPr>
              <w:t>تغير السعر</w:t>
            </w:r>
          </w:p>
        </w:tc>
        <w:tc>
          <w:tcPr>
            <w:tcW w:type="dxa" w:w="2880"/>
          </w:tcPr>
          <w:p>
            <w:pPr>
              <w:jc w:val="right"/>
            </w:pPr>
            <w:r>
              <w:rPr>
                <w:rFonts w:ascii="Arial" w:hAnsi="Arial" w:eastAsia="Arial"/>
              </w:rPr>
              <w:t>صافي الربح السنة 3</w:t>
            </w:r>
          </w:p>
        </w:tc>
        <w:tc>
          <w:tcPr>
            <w:tcW w:type="dxa" w:w="2880"/>
          </w:tcPr>
          <w:p>
            <w:pPr>
              <w:jc w:val="right"/>
            </w:pPr>
            <w:r>
              <w:rPr>
                <w:rFonts w:ascii="Arial" w:hAnsi="Arial" w:eastAsia="Arial"/>
              </w:rPr>
              <w:t>صافي الربح السنة 5</w:t>
            </w:r>
          </w:p>
        </w:tc>
      </w:tr>
      <w:tr>
        <w:tc>
          <w:tcPr>
            <w:tcW w:type="dxa" w:w="2880"/>
          </w:tcPr>
          <w:p>
            <w:pPr>
              <w:jc w:val="right"/>
            </w:pPr>
            <w:r>
              <w:rPr>
                <w:rFonts w:ascii="Arial" w:hAnsi="Arial" w:eastAsia="Arial"/>
              </w:rPr>
              <w:t>-20%</w:t>
            </w:r>
          </w:p>
        </w:tc>
        <w:tc>
          <w:tcPr>
            <w:tcW w:type="dxa" w:w="2880"/>
          </w:tcPr>
          <w:p>
            <w:pPr>
              <w:jc w:val="right"/>
            </w:pPr>
            <w:r>
              <w:rPr>
                <w:rFonts w:ascii="Arial" w:hAnsi="Arial" w:eastAsia="Arial"/>
              </w:rPr>
              <w:t>1.5 مليون</w:t>
            </w:r>
          </w:p>
        </w:tc>
        <w:tc>
          <w:tcPr>
            <w:tcW w:type="dxa" w:w="2880"/>
          </w:tcPr>
          <w:p>
            <w:pPr>
              <w:jc w:val="right"/>
            </w:pPr>
            <w:r>
              <w:rPr>
                <w:rFonts w:ascii="Arial" w:hAnsi="Arial" w:eastAsia="Arial"/>
              </w:rPr>
              <w:t>5.5 مليون</w:t>
            </w:r>
          </w:p>
        </w:tc>
      </w:tr>
      <w:tr>
        <w:tc>
          <w:tcPr>
            <w:tcW w:type="dxa" w:w="2880"/>
          </w:tcPr>
          <w:p>
            <w:pPr>
              <w:jc w:val="right"/>
            </w:pPr>
            <w:r>
              <w:rPr>
                <w:rFonts w:ascii="Arial" w:hAnsi="Arial" w:eastAsia="Arial"/>
              </w:rPr>
              <w:t>-10%</w:t>
            </w:r>
          </w:p>
        </w:tc>
        <w:tc>
          <w:tcPr>
            <w:tcW w:type="dxa" w:w="2880"/>
          </w:tcPr>
          <w:p>
            <w:pPr>
              <w:jc w:val="right"/>
            </w:pPr>
            <w:r>
              <w:rPr>
                <w:rFonts w:ascii="Arial" w:hAnsi="Arial" w:eastAsia="Arial"/>
              </w:rPr>
              <w:t>3.2 مليون</w:t>
            </w:r>
          </w:p>
        </w:tc>
        <w:tc>
          <w:tcPr>
            <w:tcW w:type="dxa" w:w="2880"/>
          </w:tcPr>
          <w:p>
            <w:pPr>
              <w:jc w:val="right"/>
            </w:pPr>
            <w:r>
              <w:rPr>
                <w:rFonts w:ascii="Arial" w:hAnsi="Arial" w:eastAsia="Arial"/>
              </w:rPr>
              <w:t>7.8 مليون</w:t>
            </w:r>
          </w:p>
        </w:tc>
      </w:tr>
      <w:tr>
        <w:tc>
          <w:tcPr>
            <w:tcW w:type="dxa" w:w="2880"/>
          </w:tcPr>
          <w:p>
            <w:pPr>
              <w:jc w:val="right"/>
            </w:pPr>
            <w:r>
              <w:rPr>
                <w:rFonts w:ascii="Arial" w:hAnsi="Arial" w:eastAsia="Arial"/>
              </w:rPr>
              <w:t>الأساس (0%)</w:t>
            </w:r>
          </w:p>
        </w:tc>
        <w:tc>
          <w:tcPr>
            <w:tcW w:type="dxa" w:w="2880"/>
          </w:tcPr>
          <w:p>
            <w:pPr>
              <w:jc w:val="right"/>
            </w:pPr>
            <w:r>
              <w:rPr>
                <w:rFonts w:ascii="Arial" w:hAnsi="Arial" w:eastAsia="Arial"/>
              </w:rPr>
              <w:t>5.0 مليون</w:t>
            </w:r>
          </w:p>
        </w:tc>
        <w:tc>
          <w:tcPr>
            <w:tcW w:type="dxa" w:w="2880"/>
          </w:tcPr>
          <w:p>
            <w:pPr>
              <w:jc w:val="right"/>
            </w:pPr>
            <w:r>
              <w:rPr>
                <w:rFonts w:ascii="Arial" w:hAnsi="Arial" w:eastAsia="Arial"/>
              </w:rPr>
              <w:t>10.4 مليون</w:t>
            </w:r>
          </w:p>
        </w:tc>
      </w:tr>
      <w:tr>
        <w:tc>
          <w:tcPr>
            <w:tcW w:type="dxa" w:w="2880"/>
          </w:tcPr>
          <w:p>
            <w:pPr>
              <w:jc w:val="right"/>
            </w:pPr>
            <w:r>
              <w:rPr>
                <w:rFonts w:ascii="Arial" w:hAnsi="Arial" w:eastAsia="Arial"/>
              </w:rPr>
              <w:t>+10%</w:t>
            </w:r>
          </w:p>
        </w:tc>
        <w:tc>
          <w:tcPr>
            <w:tcW w:type="dxa" w:w="2880"/>
          </w:tcPr>
          <w:p>
            <w:pPr>
              <w:jc w:val="right"/>
            </w:pPr>
            <w:r>
              <w:rPr>
                <w:rFonts w:ascii="Arial" w:hAnsi="Arial" w:eastAsia="Arial"/>
              </w:rPr>
              <w:t>6.8 مليون</w:t>
            </w:r>
          </w:p>
        </w:tc>
        <w:tc>
          <w:tcPr>
            <w:tcW w:type="dxa" w:w="2880"/>
          </w:tcPr>
          <w:p>
            <w:pPr>
              <w:jc w:val="right"/>
            </w:pPr>
            <w:r>
              <w:rPr>
                <w:rFonts w:ascii="Arial" w:hAnsi="Arial" w:eastAsia="Arial"/>
              </w:rPr>
              <w:t>13.0 مليون</w:t>
            </w:r>
          </w:p>
        </w:tc>
      </w:tr>
      <w:tr>
        <w:tc>
          <w:tcPr>
            <w:tcW w:type="dxa" w:w="2880"/>
          </w:tcPr>
          <w:p>
            <w:pPr>
              <w:jc w:val="right"/>
            </w:pPr>
            <w:r>
              <w:rPr>
                <w:rFonts w:ascii="Arial" w:hAnsi="Arial" w:eastAsia="Arial"/>
              </w:rPr>
              <w:t>+20%</w:t>
            </w:r>
          </w:p>
        </w:tc>
        <w:tc>
          <w:tcPr>
            <w:tcW w:type="dxa" w:w="2880"/>
          </w:tcPr>
          <w:p>
            <w:pPr>
              <w:jc w:val="right"/>
            </w:pPr>
            <w:r>
              <w:rPr>
                <w:rFonts w:ascii="Arial" w:hAnsi="Arial" w:eastAsia="Arial"/>
              </w:rPr>
              <w:t>8.5 مليون</w:t>
            </w:r>
          </w:p>
        </w:tc>
        <w:tc>
          <w:tcPr>
            <w:tcW w:type="dxa" w:w="2880"/>
          </w:tcPr>
          <w:p>
            <w:pPr>
              <w:jc w:val="right"/>
            </w:pPr>
            <w:r>
              <w:rPr>
                <w:rFonts w:ascii="Arial" w:hAnsi="Arial" w:eastAsia="Arial"/>
              </w:rPr>
              <w:t>15.5 مليون</w:t>
            </w:r>
          </w:p>
        </w:tc>
      </w:tr>
    </w:tbl>
    <w:p>
      <w:pPr>
        <w:jc w:val="right"/>
      </w:pPr>
      <w:r>
        <w:rPr>
          <w:rFonts w:ascii="Arial" w:hAnsi="Arial" w:eastAsia="Arial"/>
          <w:b w:val="0"/>
          <w:i w:val="0"/>
          <w:sz w:val="24"/>
        </w:rPr>
        <w:t>يظهر النموذج مرونة حتى مع انخفاض 20% في الأسعار أو ارتفاع 30% في التكاليف، حيث يبقى مربحاً من السنة الثالثة فصاعداً.</w:t>
      </w:r>
    </w:p>
    <w:p>
      <w:r>
        <w:br w:type="page"/>
      </w:r>
    </w:p>
    <w:p>
      <w:pPr>
        <w:pStyle w:val="Heading1"/>
        <w:jc w:val="right"/>
      </w:pPr>
      <w:r>
        <w:rPr>
          <w:rFonts w:ascii="Arial" w:hAnsi="Arial" w:eastAsia="Arial"/>
          <w:color w:val="003366"/>
        </w:rPr>
        <w:t>11. تحليل المخاطر والتحوطات</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shd w:fill="0A0F1A"/>
          </w:tcPr>
          <w:p>
            <w:pPr>
              <w:jc w:val="right"/>
            </w:pPr>
            <w:r>
              <w:rPr>
                <w:rFonts w:ascii="Arial" w:hAnsi="Arial" w:eastAsia="Arial"/>
                <w:b/>
                <w:color w:val="FFFFFF"/>
              </w:rPr>
              <w:t>المخاطر</w:t>
            </w:r>
          </w:p>
        </w:tc>
        <w:tc>
          <w:tcPr>
            <w:tcW w:type="dxa" w:w="2160"/>
            <w:shd w:fill="0A0F1A"/>
          </w:tcPr>
          <w:p>
            <w:pPr>
              <w:jc w:val="right"/>
            </w:pPr>
            <w:r>
              <w:rPr>
                <w:rFonts w:ascii="Arial" w:hAnsi="Arial" w:eastAsia="Arial"/>
                <w:b/>
                <w:color w:val="FFFFFF"/>
              </w:rPr>
              <w:t>الاحتمالية</w:t>
            </w:r>
          </w:p>
        </w:tc>
        <w:tc>
          <w:tcPr>
            <w:tcW w:type="dxa" w:w="2160"/>
            <w:shd w:fill="0A0F1A"/>
          </w:tcPr>
          <w:p>
            <w:pPr>
              <w:jc w:val="right"/>
            </w:pPr>
            <w:r>
              <w:rPr>
                <w:rFonts w:ascii="Arial" w:hAnsi="Arial" w:eastAsia="Arial"/>
                <w:b/>
                <w:color w:val="FFFFFF"/>
              </w:rPr>
              <w:t>التأثير</w:t>
            </w:r>
          </w:p>
        </w:tc>
        <w:tc>
          <w:tcPr>
            <w:tcW w:type="dxa" w:w="2160"/>
            <w:shd w:fill="0A0F1A"/>
          </w:tcPr>
          <w:p>
            <w:pPr>
              <w:jc w:val="right"/>
            </w:pPr>
            <w:r>
              <w:rPr>
                <w:rFonts w:ascii="Arial" w:hAnsi="Arial" w:eastAsia="Arial"/>
                <w:b/>
                <w:color w:val="FFFFFF"/>
              </w:rPr>
              <w:t>التحوط</w:t>
            </w:r>
          </w:p>
        </w:tc>
      </w:tr>
      <w:tr>
        <w:tc>
          <w:tcPr>
            <w:tcW w:type="dxa" w:w="2160"/>
          </w:tcPr>
          <w:p>
            <w:pPr>
              <w:jc w:val="right"/>
            </w:pPr>
            <w:r>
              <w:rPr>
                <w:rFonts w:ascii="Arial" w:hAnsi="Arial" w:eastAsia="Arial"/>
              </w:rPr>
              <w:t>المخاطر</w:t>
            </w:r>
          </w:p>
        </w:tc>
        <w:tc>
          <w:tcPr>
            <w:tcW w:type="dxa" w:w="2160"/>
          </w:tcPr>
          <w:p>
            <w:pPr>
              <w:jc w:val="right"/>
            </w:pPr>
            <w:r>
              <w:rPr>
                <w:rFonts w:ascii="Arial" w:hAnsi="Arial" w:eastAsia="Arial"/>
              </w:rPr>
              <w:t>الاحتمالية</w:t>
            </w:r>
          </w:p>
        </w:tc>
        <w:tc>
          <w:tcPr>
            <w:tcW w:type="dxa" w:w="2160"/>
          </w:tcPr>
          <w:p>
            <w:pPr>
              <w:jc w:val="right"/>
            </w:pPr>
            <w:r>
              <w:rPr>
                <w:rFonts w:ascii="Arial" w:hAnsi="Arial" w:eastAsia="Arial"/>
              </w:rPr>
              <w:t>التأثير</w:t>
            </w:r>
          </w:p>
        </w:tc>
        <w:tc>
          <w:tcPr>
            <w:tcW w:type="dxa" w:w="2160"/>
          </w:tcPr>
          <w:p>
            <w:pPr>
              <w:jc w:val="right"/>
            </w:pPr>
            <w:r>
              <w:rPr>
                <w:rFonts w:ascii="Arial" w:hAnsi="Arial" w:eastAsia="Arial"/>
              </w:rPr>
              <w:t>التحوط</w:t>
            </w:r>
          </w:p>
        </w:tc>
      </w:tr>
      <w:tr>
        <w:tc>
          <w:tcPr>
            <w:tcW w:type="dxa" w:w="2160"/>
          </w:tcPr>
          <w:p>
            <w:pPr>
              <w:jc w:val="right"/>
            </w:pPr>
            <w:r>
              <w:rPr>
                <w:rFonts w:ascii="Arial" w:hAnsi="Arial" w:eastAsia="Arial"/>
              </w:rPr>
              <w:t>صعوبة الحصول على أصول جيدة</w:t>
            </w:r>
          </w:p>
        </w:tc>
        <w:tc>
          <w:tcPr>
            <w:tcW w:type="dxa" w:w="2160"/>
          </w:tcPr>
          <w:p>
            <w:pPr>
              <w:jc w:val="right"/>
            </w:pPr>
            <w:r>
              <w:rPr>
                <w:rFonts w:ascii="Arial" w:hAnsi="Arial" w:eastAsia="Arial"/>
              </w:rPr>
              <w:t>عالية</w:t>
            </w:r>
          </w:p>
        </w:tc>
        <w:tc>
          <w:tcPr>
            <w:tcW w:type="dxa" w:w="2160"/>
          </w:tcPr>
          <w:p>
            <w:pPr>
              <w:jc w:val="right"/>
            </w:pPr>
            <w:r>
              <w:rPr>
                <w:rFonts w:ascii="Arial" w:hAnsi="Arial" w:eastAsia="Arial"/>
              </w:rPr>
              <w:t>توقف النمو</w:t>
            </w:r>
          </w:p>
        </w:tc>
        <w:tc>
          <w:tcPr>
            <w:tcW w:type="dxa" w:w="2160"/>
          </w:tcPr>
          <w:p>
            <w:pPr>
              <w:jc w:val="right"/>
            </w:pPr>
            <w:r>
              <w:rPr>
                <w:rFonts w:ascii="Arial" w:hAnsi="Arial" w:eastAsia="Arial"/>
              </w:rPr>
              <w:t>شبكة علاقات وقاعدة بيانات ومصفين</w:t>
            </w:r>
          </w:p>
        </w:tc>
      </w:tr>
      <w:tr>
        <w:tc>
          <w:tcPr>
            <w:tcW w:type="dxa" w:w="2160"/>
          </w:tcPr>
          <w:p>
            <w:pPr>
              <w:jc w:val="right"/>
            </w:pPr>
            <w:r>
              <w:rPr>
                <w:rFonts w:ascii="Arial" w:hAnsi="Arial" w:eastAsia="Arial"/>
              </w:rPr>
              <w:t>عيوب إنشائية مخفية</w:t>
            </w:r>
          </w:p>
        </w:tc>
        <w:tc>
          <w:tcPr>
            <w:tcW w:type="dxa" w:w="2160"/>
          </w:tcPr>
          <w:p>
            <w:pPr>
              <w:jc w:val="right"/>
            </w:pPr>
            <w:r>
              <w:rPr>
                <w:rFonts w:ascii="Arial" w:hAnsi="Arial" w:eastAsia="Arial"/>
              </w:rPr>
              <w:t>عالية</w:t>
            </w:r>
          </w:p>
        </w:tc>
        <w:tc>
          <w:tcPr>
            <w:tcW w:type="dxa" w:w="2160"/>
          </w:tcPr>
          <w:p>
            <w:pPr>
              <w:jc w:val="right"/>
            </w:pPr>
            <w:r>
              <w:rPr>
                <w:rFonts w:ascii="Arial" w:hAnsi="Arial" w:eastAsia="Arial"/>
              </w:rPr>
              <w:t>خسارة مالية كبيرة</w:t>
            </w:r>
          </w:p>
        </w:tc>
        <w:tc>
          <w:tcPr>
            <w:tcW w:type="dxa" w:w="2160"/>
          </w:tcPr>
          <w:p>
            <w:pPr>
              <w:jc w:val="right"/>
            </w:pPr>
            <w:r>
              <w:rPr>
                <w:rFonts w:ascii="Arial" w:hAnsi="Arial" w:eastAsia="Arial"/>
              </w:rPr>
              <w:t>فحص هندسي + تأمين + احتياطي 15%</w:t>
            </w:r>
          </w:p>
        </w:tc>
      </w:tr>
      <w:tr>
        <w:tc>
          <w:tcPr>
            <w:tcW w:type="dxa" w:w="2160"/>
          </w:tcPr>
          <w:p>
            <w:pPr>
              <w:jc w:val="right"/>
            </w:pPr>
            <w:r>
              <w:rPr>
                <w:rFonts w:ascii="Arial" w:hAnsi="Arial" w:eastAsia="Arial"/>
              </w:rPr>
              <w:t>تأخر بيع الوحدات</w:t>
            </w:r>
          </w:p>
        </w:tc>
        <w:tc>
          <w:tcPr>
            <w:tcW w:type="dxa" w:w="2160"/>
          </w:tcPr>
          <w:p>
            <w:pPr>
              <w:jc w:val="right"/>
            </w:pPr>
            <w:r>
              <w:rPr>
                <w:rFonts w:ascii="Arial" w:hAnsi="Arial" w:eastAsia="Arial"/>
              </w:rPr>
              <w:t>متوسطة</w:t>
            </w:r>
          </w:p>
        </w:tc>
        <w:tc>
          <w:tcPr>
            <w:tcW w:type="dxa" w:w="2160"/>
          </w:tcPr>
          <w:p>
            <w:pPr>
              <w:jc w:val="right"/>
            </w:pPr>
            <w:r>
              <w:rPr>
                <w:rFonts w:ascii="Arial" w:hAnsi="Arial" w:eastAsia="Arial"/>
              </w:rPr>
              <w:t>حمل تكاليف</w:t>
            </w:r>
          </w:p>
        </w:tc>
        <w:tc>
          <w:tcPr>
            <w:tcW w:type="dxa" w:w="2160"/>
          </w:tcPr>
          <w:p>
            <w:pPr>
              <w:jc w:val="right"/>
            </w:pPr>
            <w:r>
              <w:rPr>
                <w:rFonts w:ascii="Arial" w:hAnsi="Arial" w:eastAsia="Arial"/>
              </w:rPr>
              <w:t>تسعير تنافسي + عقود مسبقة البيع</w:t>
            </w:r>
          </w:p>
        </w:tc>
      </w:tr>
      <w:tr>
        <w:tc>
          <w:tcPr>
            <w:tcW w:type="dxa" w:w="2160"/>
          </w:tcPr>
          <w:p>
            <w:pPr>
              <w:jc w:val="right"/>
            </w:pPr>
            <w:r>
              <w:rPr>
                <w:rFonts w:ascii="Arial" w:hAnsi="Arial" w:eastAsia="Arial"/>
              </w:rPr>
              <w:t>تأخر المقاول</w:t>
            </w:r>
          </w:p>
        </w:tc>
        <w:tc>
          <w:tcPr>
            <w:tcW w:type="dxa" w:w="2160"/>
          </w:tcPr>
          <w:p>
            <w:pPr>
              <w:jc w:val="right"/>
            </w:pPr>
            <w:r>
              <w:rPr>
                <w:rFonts w:ascii="Arial" w:hAnsi="Arial" w:eastAsia="Arial"/>
              </w:rPr>
              <w:t>متوسطة</w:t>
            </w:r>
          </w:p>
        </w:tc>
        <w:tc>
          <w:tcPr>
            <w:tcW w:type="dxa" w:w="2160"/>
          </w:tcPr>
          <w:p>
            <w:pPr>
              <w:jc w:val="right"/>
            </w:pPr>
            <w:r>
              <w:rPr>
                <w:rFonts w:ascii="Arial" w:hAnsi="Arial" w:eastAsia="Arial"/>
              </w:rPr>
              <w:t>تكاليف إضافية</w:t>
            </w:r>
          </w:p>
        </w:tc>
        <w:tc>
          <w:tcPr>
            <w:tcW w:type="dxa" w:w="2160"/>
          </w:tcPr>
          <w:p>
            <w:pPr>
              <w:jc w:val="right"/>
            </w:pPr>
            <w:r>
              <w:rPr>
                <w:rFonts w:ascii="Arial" w:hAnsi="Arial" w:eastAsia="Arial"/>
              </w:rPr>
              <w:t>كفالة بنكية + عقوبات تأخير</w:t>
            </w:r>
          </w:p>
        </w:tc>
      </w:tr>
      <w:tr>
        <w:tc>
          <w:tcPr>
            <w:tcW w:type="dxa" w:w="2160"/>
          </w:tcPr>
          <w:p>
            <w:pPr>
              <w:jc w:val="right"/>
            </w:pPr>
            <w:r>
              <w:rPr>
                <w:rFonts w:ascii="Arial" w:hAnsi="Arial" w:eastAsia="Arial"/>
              </w:rPr>
              <w:t>تغير أسعار مواد البناء</w:t>
            </w:r>
          </w:p>
        </w:tc>
        <w:tc>
          <w:tcPr>
            <w:tcW w:type="dxa" w:w="2160"/>
          </w:tcPr>
          <w:p>
            <w:pPr>
              <w:jc w:val="right"/>
            </w:pPr>
            <w:r>
              <w:rPr>
                <w:rFonts w:ascii="Arial" w:hAnsi="Arial" w:eastAsia="Arial"/>
              </w:rPr>
              <w:t>متوسطة</w:t>
            </w:r>
          </w:p>
        </w:tc>
        <w:tc>
          <w:tcPr>
            <w:tcW w:type="dxa" w:w="2160"/>
          </w:tcPr>
          <w:p>
            <w:pPr>
              <w:jc w:val="right"/>
            </w:pPr>
            <w:r>
              <w:rPr>
                <w:rFonts w:ascii="Arial" w:hAnsi="Arial" w:eastAsia="Arial"/>
              </w:rPr>
              <w:t>ارتفاع التكاليف</w:t>
            </w:r>
          </w:p>
        </w:tc>
        <w:tc>
          <w:tcPr>
            <w:tcW w:type="dxa" w:w="2160"/>
          </w:tcPr>
          <w:p>
            <w:pPr>
              <w:jc w:val="right"/>
            </w:pPr>
            <w:r>
              <w:rPr>
                <w:rFonts w:ascii="Arial" w:hAnsi="Arial" w:eastAsia="Arial"/>
              </w:rPr>
              <w:t>عقود ثابتة السعر</w:t>
            </w:r>
          </w:p>
        </w:tc>
      </w:tr>
      <w:tr>
        <w:tc>
          <w:tcPr>
            <w:tcW w:type="dxa" w:w="2160"/>
          </w:tcPr>
          <w:p>
            <w:pPr>
              <w:jc w:val="right"/>
            </w:pPr>
            <w:r>
              <w:rPr>
                <w:rFonts w:ascii="Arial" w:hAnsi="Arial" w:eastAsia="Arial"/>
              </w:rPr>
              <w:t>نزاعات قانونية مع المالك</w:t>
            </w:r>
          </w:p>
        </w:tc>
        <w:tc>
          <w:tcPr>
            <w:tcW w:type="dxa" w:w="2160"/>
          </w:tcPr>
          <w:p>
            <w:pPr>
              <w:jc w:val="right"/>
            </w:pPr>
            <w:r>
              <w:rPr>
                <w:rFonts w:ascii="Arial" w:hAnsi="Arial" w:eastAsia="Arial"/>
              </w:rPr>
              <w:t>متوسطة</w:t>
            </w:r>
          </w:p>
        </w:tc>
        <w:tc>
          <w:tcPr>
            <w:tcW w:type="dxa" w:w="2160"/>
          </w:tcPr>
          <w:p>
            <w:pPr>
              <w:jc w:val="right"/>
            </w:pPr>
            <w:r>
              <w:rPr>
                <w:rFonts w:ascii="Arial" w:hAnsi="Arial" w:eastAsia="Arial"/>
              </w:rPr>
              <w:t>توقف المشروع</w:t>
            </w:r>
          </w:p>
        </w:tc>
        <w:tc>
          <w:tcPr>
            <w:tcW w:type="dxa" w:w="2160"/>
          </w:tcPr>
          <w:p>
            <w:pPr>
              <w:jc w:val="right"/>
            </w:pPr>
            <w:r>
              <w:rPr>
                <w:rFonts w:ascii="Arial" w:hAnsi="Arial" w:eastAsia="Arial"/>
              </w:rPr>
              <w:t>عقود واضحة + تحكيم ملزم</w:t>
            </w:r>
          </w:p>
        </w:tc>
      </w:tr>
      <w:tr>
        <w:tc>
          <w:tcPr>
            <w:tcW w:type="dxa" w:w="2160"/>
          </w:tcPr>
          <w:p>
            <w:pPr>
              <w:jc w:val="right"/>
            </w:pPr>
            <w:r>
              <w:rPr>
                <w:rFonts w:ascii="Arial" w:hAnsi="Arial" w:eastAsia="Arial"/>
              </w:rPr>
              <w:t>تراجع أسعار العقار</w:t>
            </w:r>
          </w:p>
        </w:tc>
        <w:tc>
          <w:tcPr>
            <w:tcW w:type="dxa" w:w="2160"/>
          </w:tcPr>
          <w:p>
            <w:pPr>
              <w:jc w:val="right"/>
            </w:pPr>
            <w:r>
              <w:rPr>
                <w:rFonts w:ascii="Arial" w:hAnsi="Arial" w:eastAsia="Arial"/>
              </w:rPr>
              <w:t>منخفضة-متوسطة</w:t>
            </w:r>
          </w:p>
        </w:tc>
        <w:tc>
          <w:tcPr>
            <w:tcW w:type="dxa" w:w="2160"/>
          </w:tcPr>
          <w:p>
            <w:pPr>
              <w:jc w:val="right"/>
            </w:pPr>
            <w:r>
              <w:rPr>
                <w:rFonts w:ascii="Arial" w:hAnsi="Arial" w:eastAsia="Arial"/>
              </w:rPr>
              <w:t>انخفاض الهوامش</w:t>
            </w:r>
          </w:p>
        </w:tc>
        <w:tc>
          <w:tcPr>
            <w:tcW w:type="dxa" w:w="2160"/>
          </w:tcPr>
          <w:p>
            <w:pPr>
              <w:jc w:val="right"/>
            </w:pPr>
            <w:r>
              <w:rPr>
                <w:rFonts w:ascii="Arial" w:hAnsi="Arial" w:eastAsia="Arial"/>
              </w:rPr>
              <w:t>تنويع جغرافي وفئات استهداف</w:t>
            </w:r>
          </w:p>
        </w:tc>
      </w:tr>
    </w:tbl>
    <w:p>
      <w:pPr>
        <w:pStyle w:val="Heading2"/>
        <w:jc w:val="right"/>
      </w:pPr>
      <w:r>
        <w:rPr>
          <w:rFonts w:ascii="Arial" w:hAnsi="Arial" w:eastAsia="Arial"/>
          <w:color w:val="D4A853"/>
        </w:rPr>
        <w:t>الاحتياطي المقترح للمخاطر</w:t>
      </w:r>
    </w:p>
    <w:tbl>
      <w:tblPr>
        <w:tblStyle w:val="LightGrid-Accent1"/>
        <w:tblW w:type="auto" w:w="0"/>
        <w:jc w:val="right"/>
        <w:tblLook w:firstColumn="1" w:firstRow="1" w:lastColumn="0" w:lastRow="0" w:noHBand="0" w:noVBand="1" w:val="04A0"/>
      </w:tblPr>
      <w:tblGrid>
        <w:gridCol w:w="4320"/>
        <w:gridCol w:w="4320"/>
      </w:tblGrid>
      <w:tr>
        <w:tc>
          <w:tcPr>
            <w:tcW w:type="dxa" w:w="4320"/>
            <w:shd w:fill="0A0F1A"/>
          </w:tcPr>
          <w:p>
            <w:pPr>
              <w:jc w:val="right"/>
            </w:pPr>
            <w:r>
              <w:rPr>
                <w:rFonts w:ascii="Arial" w:hAnsi="Arial" w:eastAsia="Arial"/>
                <w:b/>
                <w:color w:val="FFFFFF"/>
              </w:rPr>
              <w:t>الاحتياطي</w:t>
            </w:r>
          </w:p>
        </w:tc>
        <w:tc>
          <w:tcPr>
            <w:tcW w:type="dxa" w:w="4320"/>
            <w:shd w:fill="0A0F1A"/>
          </w:tcPr>
          <w:p>
            <w:pPr>
              <w:jc w:val="right"/>
            </w:pPr>
            <w:r>
              <w:rPr>
                <w:rFonts w:ascii="Arial" w:hAnsi="Arial" w:eastAsia="Arial"/>
                <w:b/>
                <w:color w:val="FFFFFF"/>
              </w:rPr>
              <w:t>المبلغ</w:t>
            </w:r>
          </w:p>
        </w:tc>
      </w:tr>
      <w:tr>
        <w:tc>
          <w:tcPr>
            <w:tcW w:type="dxa" w:w="4320"/>
          </w:tcPr>
          <w:p>
            <w:pPr>
              <w:jc w:val="right"/>
            </w:pPr>
            <w:r>
              <w:rPr>
                <w:rFonts w:ascii="Arial" w:hAnsi="Arial" w:eastAsia="Arial"/>
              </w:rPr>
              <w:t>نوع الاحتياطي</w:t>
            </w:r>
          </w:p>
        </w:tc>
        <w:tc>
          <w:tcPr>
            <w:tcW w:type="dxa" w:w="4320"/>
          </w:tcPr>
          <w:p>
            <w:pPr>
              <w:jc w:val="right"/>
            </w:pPr>
            <w:r>
              <w:rPr>
                <w:rFonts w:ascii="Arial" w:hAnsi="Arial" w:eastAsia="Arial"/>
              </w:rPr>
              <w:t>المبلغ</w:t>
            </w:r>
          </w:p>
        </w:tc>
      </w:tr>
      <w:tr>
        <w:tc>
          <w:tcPr>
            <w:tcW w:type="dxa" w:w="4320"/>
          </w:tcPr>
          <w:p>
            <w:pPr>
              <w:jc w:val="right"/>
            </w:pPr>
            <w:r>
              <w:rPr>
                <w:rFonts w:ascii="Arial" w:hAnsi="Arial" w:eastAsia="Arial"/>
              </w:rPr>
              <w:t>احتياطي عيوب إنشائية</w:t>
            </w:r>
          </w:p>
        </w:tc>
        <w:tc>
          <w:tcPr>
            <w:tcW w:type="dxa" w:w="4320"/>
          </w:tcPr>
          <w:p>
            <w:pPr>
              <w:jc w:val="right"/>
            </w:pPr>
            <w:r>
              <w:rPr>
                <w:rFonts w:ascii="Arial" w:hAnsi="Arial" w:eastAsia="Arial"/>
              </w:rPr>
              <w:t>225,000 ريال/مشروع</w:t>
            </w:r>
          </w:p>
        </w:tc>
      </w:tr>
      <w:tr>
        <w:tc>
          <w:tcPr>
            <w:tcW w:type="dxa" w:w="4320"/>
          </w:tcPr>
          <w:p>
            <w:pPr>
              <w:jc w:val="right"/>
            </w:pPr>
            <w:r>
              <w:rPr>
                <w:rFonts w:ascii="Arial" w:hAnsi="Arial" w:eastAsia="Arial"/>
              </w:rPr>
              <w:t>احتياطي تأخر البيع</w:t>
            </w:r>
          </w:p>
        </w:tc>
        <w:tc>
          <w:tcPr>
            <w:tcW w:type="dxa" w:w="4320"/>
          </w:tcPr>
          <w:p>
            <w:pPr>
              <w:jc w:val="right"/>
            </w:pPr>
            <w:r>
              <w:rPr>
                <w:rFonts w:ascii="Arial" w:hAnsi="Arial" w:eastAsia="Arial"/>
              </w:rPr>
              <w:t>150,000 ريال/مشروع</w:t>
            </w:r>
          </w:p>
        </w:tc>
      </w:tr>
      <w:tr>
        <w:tc>
          <w:tcPr>
            <w:tcW w:type="dxa" w:w="4320"/>
          </w:tcPr>
          <w:p>
            <w:pPr>
              <w:jc w:val="right"/>
            </w:pPr>
            <w:r>
              <w:rPr>
                <w:rFonts w:ascii="Arial" w:hAnsi="Arial" w:eastAsia="Arial"/>
              </w:rPr>
              <w:t>احتياطي عام</w:t>
            </w:r>
          </w:p>
        </w:tc>
        <w:tc>
          <w:tcPr>
            <w:tcW w:type="dxa" w:w="4320"/>
          </w:tcPr>
          <w:p>
            <w:pPr>
              <w:jc w:val="right"/>
            </w:pPr>
            <w:r>
              <w:rPr>
                <w:rFonts w:ascii="Arial" w:hAnsi="Arial" w:eastAsia="Arial"/>
              </w:rPr>
              <w:t>2,500,000 ريال</w:t>
            </w:r>
          </w:p>
        </w:tc>
      </w:tr>
      <w:tr>
        <w:tc>
          <w:tcPr>
            <w:tcW w:type="dxa" w:w="4320"/>
          </w:tcPr>
          <w:p>
            <w:pPr>
              <w:jc w:val="right"/>
            </w:pPr>
            <w:r>
              <w:rPr>
                <w:rFonts w:ascii="Arial" w:hAnsi="Arial" w:eastAsia="Arial"/>
              </w:rPr>
              <w:t>الإجمالي المقترح</w:t>
            </w:r>
          </w:p>
        </w:tc>
        <w:tc>
          <w:tcPr>
            <w:tcW w:type="dxa" w:w="4320"/>
          </w:tcPr>
          <w:p>
            <w:pPr>
              <w:jc w:val="right"/>
            </w:pPr>
            <w:r>
              <w:rPr>
                <w:rFonts w:ascii="Arial" w:hAnsi="Arial" w:eastAsia="Arial"/>
              </w:rPr>
              <w:t>3,000,000 ريال</w:t>
            </w:r>
          </w:p>
        </w:tc>
      </w:tr>
    </w:tbl>
    <w:p>
      <w:r>
        <w:br w:type="page"/>
      </w:r>
    </w:p>
    <w:p>
      <w:pPr>
        <w:pStyle w:val="Heading1"/>
        <w:jc w:val="right"/>
      </w:pPr>
      <w:r>
        <w:rPr>
          <w:rFonts w:ascii="Arial" w:hAnsi="Arial" w:eastAsia="Arial"/>
          <w:color w:val="003366"/>
        </w:rPr>
        <w:t>12. السيناريوهات الثلاثة</w:t>
      </w:r>
    </w:p>
    <w:tbl>
      <w:tblPr>
        <w:tblStyle w:val="LightGrid-Accent1"/>
        <w:tblW w:type="auto" w:w="0"/>
        <w:jc w:val="right"/>
        <w:tblLook w:firstColumn="1" w:firstRow="1" w:lastColumn="0" w:lastRow="0" w:noHBand="0" w:noVBand="1" w:val="04A0"/>
      </w:tblPr>
      <w:tblGrid>
        <w:gridCol w:w="1728"/>
        <w:gridCol w:w="1728"/>
        <w:gridCol w:w="1728"/>
        <w:gridCol w:w="1728"/>
        <w:gridCol w:w="1728"/>
      </w:tblGrid>
      <w:tr>
        <w:tc>
          <w:tcPr>
            <w:tcW w:type="dxa" w:w="1728"/>
            <w:shd w:fill="0A0F1A"/>
          </w:tcPr>
          <w:p>
            <w:pPr>
              <w:jc w:val="right"/>
            </w:pPr>
            <w:r>
              <w:rPr>
                <w:rFonts w:ascii="Arial" w:hAnsi="Arial" w:eastAsia="Arial"/>
                <w:b/>
                <w:color w:val="FFFFFF"/>
              </w:rPr>
              <w:t>السيناريو</w:t>
            </w:r>
          </w:p>
        </w:tc>
        <w:tc>
          <w:tcPr>
            <w:tcW w:type="dxa" w:w="1728"/>
            <w:shd w:fill="0A0F1A"/>
          </w:tcPr>
          <w:p>
            <w:pPr>
              <w:jc w:val="right"/>
            </w:pPr>
            <w:r>
              <w:rPr>
                <w:rFonts w:ascii="Arial" w:hAnsi="Arial" w:eastAsia="Arial"/>
                <w:b/>
                <w:color w:val="FFFFFF"/>
              </w:rPr>
              <w:t>Y1</w:t>
            </w:r>
          </w:p>
        </w:tc>
        <w:tc>
          <w:tcPr>
            <w:tcW w:type="dxa" w:w="1728"/>
            <w:shd w:fill="0A0F1A"/>
          </w:tcPr>
          <w:p>
            <w:pPr>
              <w:jc w:val="right"/>
            </w:pPr>
            <w:r>
              <w:rPr>
                <w:rFonts w:ascii="Arial" w:hAnsi="Arial" w:eastAsia="Arial"/>
                <w:b/>
                <w:color w:val="FFFFFF"/>
              </w:rPr>
              <w:t>التكلفة</w:t>
            </w:r>
          </w:p>
        </w:tc>
        <w:tc>
          <w:tcPr>
            <w:tcW w:type="dxa" w:w="1728"/>
            <w:shd w:fill="0A0F1A"/>
          </w:tcPr>
          <w:p>
            <w:pPr>
              <w:jc w:val="right"/>
            </w:pPr>
            <w:r>
              <w:rPr>
                <w:rFonts w:ascii="Arial" w:hAnsi="Arial" w:eastAsia="Arial"/>
                <w:b/>
                <w:color w:val="FFFFFF"/>
              </w:rPr>
              <w:t>البيع</w:t>
            </w:r>
          </w:p>
        </w:tc>
        <w:tc>
          <w:tcPr>
            <w:tcW w:type="dxa" w:w="1728"/>
            <w:shd w:fill="0A0F1A"/>
          </w:tcPr>
          <w:p>
            <w:pPr>
              <w:jc w:val="right"/>
            </w:pPr>
            <w:r>
              <w:rPr>
                <w:rFonts w:ascii="Arial" w:hAnsi="Arial" w:eastAsia="Arial"/>
                <w:b/>
                <w:color w:val="FFFFFF"/>
              </w:rPr>
              <w:t>Y5 Profit</w:t>
            </w:r>
          </w:p>
        </w:tc>
      </w:tr>
      <w:tr>
        <w:tc>
          <w:tcPr>
            <w:tcW w:type="dxa" w:w="1728"/>
          </w:tcPr>
          <w:p>
            <w:pPr>
              <w:jc w:val="right"/>
            </w:pPr>
            <w:r>
              <w:rPr>
                <w:rFonts w:ascii="Arial" w:hAnsi="Arial" w:eastAsia="Arial"/>
              </w:rPr>
              <w:t>السيناريو</w:t>
            </w:r>
          </w:p>
        </w:tc>
        <w:tc>
          <w:tcPr>
            <w:tcW w:type="dxa" w:w="1728"/>
          </w:tcPr>
          <w:p>
            <w:pPr>
              <w:jc w:val="right"/>
            </w:pPr>
            <w:r>
              <w:rPr>
                <w:rFonts w:ascii="Arial" w:hAnsi="Arial" w:eastAsia="Arial"/>
              </w:rPr>
              <w:t>مشاريع السنة 1</w:t>
            </w:r>
          </w:p>
        </w:tc>
        <w:tc>
          <w:tcPr>
            <w:tcW w:type="dxa" w:w="1728"/>
          </w:tcPr>
          <w:p>
            <w:pPr>
              <w:jc w:val="right"/>
            </w:pPr>
            <w:r>
              <w:rPr>
                <w:rFonts w:ascii="Arial" w:hAnsi="Arial" w:eastAsia="Arial"/>
              </w:rPr>
              <w:t>تكلفة التشطيب</w:t>
            </w:r>
          </w:p>
        </w:tc>
        <w:tc>
          <w:tcPr>
            <w:tcW w:type="dxa" w:w="1728"/>
          </w:tcPr>
          <w:p>
            <w:pPr>
              <w:jc w:val="right"/>
            </w:pPr>
            <w:r>
              <w:rPr>
                <w:rFonts w:ascii="Arial" w:hAnsi="Arial" w:eastAsia="Arial"/>
              </w:rPr>
              <w:t>مدة البيع</w:t>
            </w:r>
          </w:p>
        </w:tc>
        <w:tc>
          <w:tcPr>
            <w:tcW w:type="dxa" w:w="1728"/>
          </w:tcPr>
          <w:p>
            <w:pPr>
              <w:jc w:val="right"/>
            </w:pPr>
            <w:r>
              <w:rPr>
                <w:rFonts w:ascii="Arial" w:hAnsi="Arial" w:eastAsia="Arial"/>
              </w:rPr>
              <w:t>صافي الربح السنة 5</w:t>
            </w:r>
          </w:p>
        </w:tc>
      </w:tr>
      <w:tr>
        <w:tc>
          <w:tcPr>
            <w:tcW w:type="dxa" w:w="1728"/>
          </w:tcPr>
          <w:p>
            <w:pPr>
              <w:jc w:val="right"/>
            </w:pPr>
            <w:r>
              <w:rPr>
                <w:rFonts w:ascii="Arial" w:hAnsi="Arial" w:eastAsia="Arial"/>
              </w:rPr>
              <w:t>متشائم</w:t>
            </w:r>
          </w:p>
        </w:tc>
        <w:tc>
          <w:tcPr>
            <w:tcW w:type="dxa" w:w="1728"/>
          </w:tcPr>
          <w:p>
            <w:pPr>
              <w:jc w:val="right"/>
            </w:pPr>
            <w:r>
              <w:rPr>
                <w:rFonts w:ascii="Arial" w:hAnsi="Arial" w:eastAsia="Arial"/>
              </w:rPr>
              <w:t>1</w:t>
            </w:r>
          </w:p>
        </w:tc>
        <w:tc>
          <w:tcPr>
            <w:tcW w:type="dxa" w:w="1728"/>
          </w:tcPr>
          <w:p>
            <w:pPr>
              <w:jc w:val="right"/>
            </w:pPr>
            <w:r>
              <w:rPr>
                <w:rFonts w:ascii="Arial" w:hAnsi="Arial" w:eastAsia="Arial"/>
              </w:rPr>
              <w:t>+20% عن المتوقع</w:t>
            </w:r>
          </w:p>
        </w:tc>
        <w:tc>
          <w:tcPr>
            <w:tcW w:type="dxa" w:w="1728"/>
          </w:tcPr>
          <w:p>
            <w:pPr>
              <w:jc w:val="right"/>
            </w:pPr>
            <w:r>
              <w:rPr>
                <w:rFonts w:ascii="Arial" w:hAnsi="Arial" w:eastAsia="Arial"/>
              </w:rPr>
              <w:t>+12 شهراً</w:t>
            </w:r>
          </w:p>
        </w:tc>
        <w:tc>
          <w:tcPr>
            <w:tcW w:type="dxa" w:w="1728"/>
          </w:tcPr>
          <w:p>
            <w:pPr>
              <w:jc w:val="right"/>
            </w:pPr>
            <w:r>
              <w:rPr>
                <w:rFonts w:ascii="Arial" w:hAnsi="Arial" w:eastAsia="Arial"/>
              </w:rPr>
              <w:t>3.0 مليون ريال</w:t>
            </w:r>
          </w:p>
        </w:tc>
      </w:tr>
      <w:tr>
        <w:tc>
          <w:tcPr>
            <w:tcW w:type="dxa" w:w="1728"/>
          </w:tcPr>
          <w:p>
            <w:pPr>
              <w:jc w:val="right"/>
            </w:pPr>
            <w:r>
              <w:rPr>
                <w:rFonts w:ascii="Arial" w:hAnsi="Arial" w:eastAsia="Arial"/>
              </w:rPr>
              <w:t>متوقع</w:t>
            </w:r>
          </w:p>
        </w:tc>
        <w:tc>
          <w:tcPr>
            <w:tcW w:type="dxa" w:w="1728"/>
          </w:tcPr>
          <w:p>
            <w:pPr>
              <w:jc w:val="right"/>
            </w:pPr>
            <w:r>
              <w:rPr>
                <w:rFonts w:ascii="Arial" w:hAnsi="Arial" w:eastAsia="Arial"/>
              </w:rPr>
              <w:t>2 - 3</w:t>
            </w:r>
          </w:p>
        </w:tc>
        <w:tc>
          <w:tcPr>
            <w:tcW w:type="dxa" w:w="1728"/>
          </w:tcPr>
          <w:p>
            <w:pPr>
              <w:jc w:val="right"/>
            </w:pPr>
            <w:r>
              <w:rPr>
                <w:rFonts w:ascii="Arial" w:hAnsi="Arial" w:eastAsia="Arial"/>
              </w:rPr>
              <w:t>كما هو متوقع</w:t>
            </w:r>
          </w:p>
        </w:tc>
        <w:tc>
          <w:tcPr>
            <w:tcW w:type="dxa" w:w="1728"/>
          </w:tcPr>
          <w:p>
            <w:pPr>
              <w:jc w:val="right"/>
            </w:pPr>
            <w:r>
              <w:rPr>
                <w:rFonts w:ascii="Arial" w:hAnsi="Arial" w:eastAsia="Arial"/>
              </w:rPr>
              <w:t>3 - 6 أشهر</w:t>
            </w:r>
          </w:p>
        </w:tc>
        <w:tc>
          <w:tcPr>
            <w:tcW w:type="dxa" w:w="1728"/>
          </w:tcPr>
          <w:p>
            <w:pPr>
              <w:jc w:val="right"/>
            </w:pPr>
            <w:r>
              <w:rPr>
                <w:rFonts w:ascii="Arial" w:hAnsi="Arial" w:eastAsia="Arial"/>
              </w:rPr>
              <w:t>10.4 مليون ريال</w:t>
            </w:r>
          </w:p>
        </w:tc>
      </w:tr>
      <w:tr>
        <w:tc>
          <w:tcPr>
            <w:tcW w:type="dxa" w:w="1728"/>
          </w:tcPr>
          <w:p>
            <w:pPr>
              <w:jc w:val="right"/>
            </w:pPr>
            <w:r>
              <w:rPr>
                <w:rFonts w:ascii="Arial" w:hAnsi="Arial" w:eastAsia="Arial"/>
              </w:rPr>
              <w:t>متفائل</w:t>
            </w:r>
          </w:p>
        </w:tc>
        <w:tc>
          <w:tcPr>
            <w:tcW w:type="dxa" w:w="1728"/>
          </w:tcPr>
          <w:p>
            <w:pPr>
              <w:jc w:val="right"/>
            </w:pPr>
            <w:r>
              <w:rPr>
                <w:rFonts w:ascii="Arial" w:hAnsi="Arial" w:eastAsia="Arial"/>
              </w:rPr>
              <w:t>4</w:t>
            </w:r>
          </w:p>
        </w:tc>
        <w:tc>
          <w:tcPr>
            <w:tcW w:type="dxa" w:w="1728"/>
          </w:tcPr>
          <w:p>
            <w:pPr>
              <w:jc w:val="right"/>
            </w:pPr>
            <w:r>
              <w:rPr>
                <w:rFonts w:ascii="Arial" w:hAnsi="Arial" w:eastAsia="Arial"/>
              </w:rPr>
              <w:t>-10% عن المتوقع</w:t>
            </w:r>
          </w:p>
        </w:tc>
        <w:tc>
          <w:tcPr>
            <w:tcW w:type="dxa" w:w="1728"/>
          </w:tcPr>
          <w:p>
            <w:pPr>
              <w:jc w:val="right"/>
            </w:pPr>
            <w:r>
              <w:rPr>
                <w:rFonts w:ascii="Arial" w:hAnsi="Arial" w:eastAsia="Arial"/>
              </w:rPr>
              <w:t>3 أشهر</w:t>
            </w:r>
          </w:p>
        </w:tc>
        <w:tc>
          <w:tcPr>
            <w:tcW w:type="dxa" w:w="1728"/>
          </w:tcPr>
          <w:p>
            <w:pPr>
              <w:jc w:val="right"/>
            </w:pPr>
            <w:r>
              <w:rPr>
                <w:rFonts w:ascii="Arial" w:hAnsi="Arial" w:eastAsia="Arial"/>
              </w:rPr>
              <w:t>14.0 مليون ريال</w:t>
            </w:r>
          </w:p>
        </w:tc>
      </w:tr>
    </w:tbl>
    <w:p>
      <w:pPr>
        <w:pStyle w:val="Heading2"/>
        <w:jc w:val="right"/>
      </w:pPr>
      <w:r>
        <w:rPr>
          <w:rFonts w:ascii="Arial" w:hAnsi="Arial" w:eastAsia="Arial"/>
          <w:color w:val="D4A853"/>
        </w:rPr>
        <w:t>التعادل حسب السيناريو</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shd w:fill="0A0F1A"/>
          </w:tcPr>
          <w:p>
            <w:pPr>
              <w:jc w:val="right"/>
            </w:pPr>
            <w:r>
              <w:rPr>
                <w:rFonts w:ascii="Arial" w:hAnsi="Arial" w:eastAsia="Arial"/>
                <w:b/>
                <w:color w:val="FFFFFF"/>
              </w:rPr>
              <w:t>السيناريو</w:t>
            </w:r>
          </w:p>
        </w:tc>
        <w:tc>
          <w:tcPr>
            <w:tcW w:type="dxa" w:w="2880"/>
            <w:shd w:fill="0A0F1A"/>
          </w:tcPr>
          <w:p>
            <w:pPr>
              <w:jc w:val="right"/>
            </w:pPr>
            <w:r>
              <w:rPr>
                <w:rFonts w:ascii="Arial" w:hAnsi="Arial" w:eastAsia="Arial"/>
                <w:b/>
                <w:color w:val="FFFFFF"/>
              </w:rPr>
              <w:t>سنوي</w:t>
            </w:r>
          </w:p>
        </w:tc>
        <w:tc>
          <w:tcPr>
            <w:tcW w:type="dxa" w:w="2880"/>
            <w:shd w:fill="0A0F1A"/>
          </w:tcPr>
          <w:p>
            <w:pPr>
              <w:jc w:val="right"/>
            </w:pPr>
            <w:r>
              <w:rPr>
                <w:rFonts w:ascii="Arial" w:hAnsi="Arial" w:eastAsia="Arial"/>
                <w:b/>
                <w:color w:val="FFFFFF"/>
              </w:rPr>
              <w:t>تراكمي</w:t>
            </w:r>
          </w:p>
        </w:tc>
      </w:tr>
      <w:tr>
        <w:tc>
          <w:tcPr>
            <w:tcW w:type="dxa" w:w="2880"/>
          </w:tcPr>
          <w:p>
            <w:pPr>
              <w:jc w:val="right"/>
            </w:pPr>
            <w:r>
              <w:rPr>
                <w:rFonts w:ascii="Arial" w:hAnsi="Arial" w:eastAsia="Arial"/>
              </w:rPr>
              <w:t>السيناريو</w:t>
            </w:r>
          </w:p>
        </w:tc>
        <w:tc>
          <w:tcPr>
            <w:tcW w:type="dxa" w:w="2880"/>
          </w:tcPr>
          <w:p>
            <w:pPr>
              <w:jc w:val="right"/>
            </w:pPr>
            <w:r>
              <w:rPr>
                <w:rFonts w:ascii="Arial" w:hAnsi="Arial" w:eastAsia="Arial"/>
              </w:rPr>
              <w:t>التعادل السنوي</w:t>
            </w:r>
          </w:p>
        </w:tc>
        <w:tc>
          <w:tcPr>
            <w:tcW w:type="dxa" w:w="2880"/>
          </w:tcPr>
          <w:p>
            <w:pPr>
              <w:jc w:val="right"/>
            </w:pPr>
            <w:r>
              <w:rPr>
                <w:rFonts w:ascii="Arial" w:hAnsi="Arial" w:eastAsia="Arial"/>
              </w:rPr>
              <w:t>التعادل التراكمي</w:t>
            </w:r>
          </w:p>
        </w:tc>
      </w:tr>
      <w:tr>
        <w:tc>
          <w:tcPr>
            <w:tcW w:type="dxa" w:w="2880"/>
          </w:tcPr>
          <w:p>
            <w:pPr>
              <w:jc w:val="right"/>
            </w:pPr>
            <w:r>
              <w:rPr>
                <w:rFonts w:ascii="Arial" w:hAnsi="Arial" w:eastAsia="Arial"/>
              </w:rPr>
              <w:t>متشائم</w:t>
            </w:r>
          </w:p>
        </w:tc>
        <w:tc>
          <w:tcPr>
            <w:tcW w:type="dxa" w:w="2880"/>
          </w:tcPr>
          <w:p>
            <w:pPr>
              <w:jc w:val="right"/>
            </w:pPr>
            <w:r>
              <w:rPr>
                <w:rFonts w:ascii="Arial" w:hAnsi="Arial" w:eastAsia="Arial"/>
              </w:rPr>
              <w:t>18 مشروع</w:t>
            </w:r>
          </w:p>
        </w:tc>
        <w:tc>
          <w:tcPr>
            <w:tcW w:type="dxa" w:w="2880"/>
          </w:tcPr>
          <w:p>
            <w:pPr>
              <w:jc w:val="right"/>
            </w:pPr>
            <w:r>
              <w:rPr>
                <w:rFonts w:ascii="Arial" w:hAnsi="Arial" w:eastAsia="Arial"/>
              </w:rPr>
              <w:t>54 مشروع</w:t>
            </w:r>
          </w:p>
        </w:tc>
      </w:tr>
      <w:tr>
        <w:tc>
          <w:tcPr>
            <w:tcW w:type="dxa" w:w="2880"/>
          </w:tcPr>
          <w:p>
            <w:pPr>
              <w:jc w:val="right"/>
            </w:pPr>
            <w:r>
              <w:rPr>
                <w:rFonts w:ascii="Arial" w:hAnsi="Arial" w:eastAsia="Arial"/>
              </w:rPr>
              <w:t>متوقع</w:t>
            </w:r>
          </w:p>
        </w:tc>
        <w:tc>
          <w:tcPr>
            <w:tcW w:type="dxa" w:w="2880"/>
          </w:tcPr>
          <w:p>
            <w:pPr>
              <w:jc w:val="right"/>
            </w:pPr>
            <w:r>
              <w:rPr>
                <w:rFonts w:ascii="Arial" w:hAnsi="Arial" w:eastAsia="Arial"/>
              </w:rPr>
              <w:t>6 مشاريع</w:t>
            </w:r>
          </w:p>
        </w:tc>
        <w:tc>
          <w:tcPr>
            <w:tcW w:type="dxa" w:w="2880"/>
          </w:tcPr>
          <w:p>
            <w:pPr>
              <w:jc w:val="right"/>
            </w:pPr>
            <w:r>
              <w:rPr>
                <w:rFonts w:ascii="Arial" w:hAnsi="Arial" w:eastAsia="Arial"/>
              </w:rPr>
              <w:t>20 مشروع</w:t>
            </w:r>
          </w:p>
        </w:tc>
      </w:tr>
      <w:tr>
        <w:tc>
          <w:tcPr>
            <w:tcW w:type="dxa" w:w="2880"/>
          </w:tcPr>
          <w:p>
            <w:pPr>
              <w:jc w:val="right"/>
            </w:pPr>
            <w:r>
              <w:rPr>
                <w:rFonts w:ascii="Arial" w:hAnsi="Arial" w:eastAsia="Arial"/>
              </w:rPr>
              <w:t>متفائل</w:t>
            </w:r>
          </w:p>
        </w:tc>
        <w:tc>
          <w:tcPr>
            <w:tcW w:type="dxa" w:w="2880"/>
          </w:tcPr>
          <w:p>
            <w:pPr>
              <w:jc w:val="right"/>
            </w:pPr>
            <w:r>
              <w:rPr>
                <w:rFonts w:ascii="Arial" w:hAnsi="Arial" w:eastAsia="Arial"/>
              </w:rPr>
              <w:t>10 مشاريع</w:t>
            </w:r>
          </w:p>
        </w:tc>
        <w:tc>
          <w:tcPr>
            <w:tcW w:type="dxa" w:w="2880"/>
          </w:tcPr>
          <w:p>
            <w:pPr>
              <w:jc w:val="right"/>
            </w:pPr>
            <w:r>
              <w:rPr>
                <w:rFonts w:ascii="Arial" w:hAnsi="Arial" w:eastAsia="Arial"/>
              </w:rPr>
              <w:t>20 مشروع</w:t>
            </w:r>
          </w:p>
        </w:tc>
      </w:tr>
    </w:tbl>
    <w:p>
      <w:r>
        <w:br w:type="page"/>
      </w:r>
    </w:p>
    <w:p>
      <w:pPr>
        <w:pStyle w:val="Heading1"/>
        <w:jc w:val="right"/>
      </w:pPr>
      <w:r>
        <w:rPr>
          <w:rFonts w:ascii="Arial" w:hAnsi="Arial" w:eastAsia="Arial"/>
          <w:color w:val="003366"/>
        </w:rPr>
        <w:t>13. خطة التسويق والمبيعات</w:t>
      </w:r>
    </w:p>
    <w:p>
      <w:pPr>
        <w:pStyle w:val="Heading2"/>
        <w:jc w:val="right"/>
      </w:pPr>
      <w:r>
        <w:rPr>
          <w:rFonts w:ascii="Arial" w:hAnsi="Arial" w:eastAsia="Arial"/>
          <w:color w:val="D4A853"/>
        </w:rPr>
        <w:t>13.1 استراتيجية التسويق الرقمي</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shd w:fill="0A0F1A"/>
          </w:tcPr>
          <w:p>
            <w:pPr>
              <w:jc w:val="right"/>
            </w:pPr>
            <w:r>
              <w:rPr>
                <w:rFonts w:ascii="Arial" w:hAnsi="Arial" w:eastAsia="Arial"/>
                <w:b/>
                <w:color w:val="FFFFFF"/>
              </w:rPr>
              <w:t>القناة</w:t>
            </w:r>
          </w:p>
        </w:tc>
        <w:tc>
          <w:tcPr>
            <w:tcW w:type="dxa" w:w="2880"/>
            <w:shd w:fill="0A0F1A"/>
          </w:tcPr>
          <w:p>
            <w:pPr>
              <w:jc w:val="right"/>
            </w:pPr>
            <w:r>
              <w:rPr>
                <w:rFonts w:ascii="Arial" w:hAnsi="Arial" w:eastAsia="Arial"/>
                <w:b/>
                <w:color w:val="FFFFFF"/>
              </w:rPr>
              <w:t>الهدف</w:t>
            </w:r>
          </w:p>
        </w:tc>
        <w:tc>
          <w:tcPr>
            <w:tcW w:type="dxa" w:w="2880"/>
            <w:shd w:fill="0A0F1A"/>
          </w:tcPr>
          <w:p>
            <w:pPr>
              <w:jc w:val="right"/>
            </w:pPr>
            <w:r>
              <w:rPr>
                <w:rFonts w:ascii="Arial" w:hAnsi="Arial" w:eastAsia="Arial"/>
                <w:b/>
                <w:color w:val="FFFFFF"/>
              </w:rPr>
              <w:t>الميزانية</w:t>
            </w:r>
          </w:p>
        </w:tc>
      </w:tr>
      <w:tr>
        <w:tc>
          <w:tcPr>
            <w:tcW w:type="dxa" w:w="2880"/>
          </w:tcPr>
          <w:p>
            <w:pPr>
              <w:jc w:val="right"/>
            </w:pPr>
            <w:r>
              <w:rPr>
                <w:rFonts w:ascii="Arial" w:hAnsi="Arial" w:eastAsia="Arial"/>
              </w:rPr>
              <w:t>القناة</w:t>
            </w:r>
          </w:p>
        </w:tc>
        <w:tc>
          <w:tcPr>
            <w:tcW w:type="dxa" w:w="2880"/>
          </w:tcPr>
          <w:p>
            <w:pPr>
              <w:jc w:val="right"/>
            </w:pPr>
            <w:r>
              <w:rPr>
                <w:rFonts w:ascii="Arial" w:hAnsi="Arial" w:eastAsia="Arial"/>
              </w:rPr>
              <w:t>الهدف</w:t>
            </w:r>
          </w:p>
        </w:tc>
        <w:tc>
          <w:tcPr>
            <w:tcW w:type="dxa" w:w="2880"/>
          </w:tcPr>
          <w:p>
            <w:pPr>
              <w:jc w:val="right"/>
            </w:pPr>
            <w:r>
              <w:rPr>
                <w:rFonts w:ascii="Arial" w:hAnsi="Arial" w:eastAsia="Arial"/>
              </w:rPr>
              <w:t>الميزانية الشهرية</w:t>
            </w:r>
          </w:p>
        </w:tc>
      </w:tr>
      <w:tr>
        <w:tc>
          <w:tcPr>
            <w:tcW w:type="dxa" w:w="2880"/>
          </w:tcPr>
          <w:p>
            <w:pPr>
              <w:jc w:val="right"/>
            </w:pPr>
            <w:r>
              <w:rPr>
                <w:rFonts w:ascii="Arial" w:hAnsi="Arial" w:eastAsia="Arial"/>
              </w:rPr>
              <w:t>Google Ads</w:t>
            </w:r>
          </w:p>
        </w:tc>
        <w:tc>
          <w:tcPr>
            <w:tcW w:type="dxa" w:w="2880"/>
          </w:tcPr>
          <w:p>
            <w:pPr>
              <w:jc w:val="right"/>
            </w:pPr>
            <w:r>
              <w:rPr>
                <w:rFonts w:ascii="Arial" w:hAnsi="Arial" w:eastAsia="Arial"/>
              </w:rPr>
              <w:t>الوصول لمالكي العقارات غير المكتملة</w:t>
            </w:r>
          </w:p>
        </w:tc>
        <w:tc>
          <w:tcPr>
            <w:tcW w:type="dxa" w:w="2880"/>
          </w:tcPr>
          <w:p>
            <w:pPr>
              <w:jc w:val="right"/>
            </w:pPr>
            <w:r>
              <w:rPr>
                <w:rFonts w:ascii="Arial" w:hAnsi="Arial" w:eastAsia="Arial"/>
              </w:rPr>
              <w:t>10,000 ريال</w:t>
            </w:r>
          </w:p>
        </w:tc>
      </w:tr>
      <w:tr>
        <w:tc>
          <w:tcPr>
            <w:tcW w:type="dxa" w:w="2880"/>
          </w:tcPr>
          <w:p>
            <w:pPr>
              <w:jc w:val="right"/>
            </w:pPr>
            <w:r>
              <w:rPr>
                <w:rFonts w:ascii="Arial" w:hAnsi="Arial" w:eastAsia="Arial"/>
              </w:rPr>
              <w:t>Snapchat Ads</w:t>
            </w:r>
          </w:p>
        </w:tc>
        <w:tc>
          <w:tcPr>
            <w:tcW w:type="dxa" w:w="2880"/>
          </w:tcPr>
          <w:p>
            <w:pPr>
              <w:jc w:val="right"/>
            </w:pPr>
            <w:r>
              <w:rPr>
                <w:rFonts w:ascii="Arial" w:hAnsi="Arial" w:eastAsia="Arial"/>
              </w:rPr>
              <w:t>الفئة العمرية 25-45</w:t>
            </w:r>
          </w:p>
        </w:tc>
        <w:tc>
          <w:tcPr>
            <w:tcW w:type="dxa" w:w="2880"/>
          </w:tcPr>
          <w:p>
            <w:pPr>
              <w:jc w:val="right"/>
            </w:pPr>
            <w:r>
              <w:rPr>
                <w:rFonts w:ascii="Arial" w:hAnsi="Arial" w:eastAsia="Arial"/>
              </w:rPr>
              <w:t>8,000 ريال</w:t>
            </w:r>
          </w:p>
        </w:tc>
      </w:tr>
      <w:tr>
        <w:tc>
          <w:tcPr>
            <w:tcW w:type="dxa" w:w="2880"/>
          </w:tcPr>
          <w:p>
            <w:pPr>
              <w:jc w:val="right"/>
            </w:pPr>
            <w:r>
              <w:rPr>
                <w:rFonts w:ascii="Arial" w:hAnsi="Arial" w:eastAsia="Arial"/>
              </w:rPr>
              <w:t>Instagram / TikTok</w:t>
            </w:r>
          </w:p>
        </w:tc>
        <w:tc>
          <w:tcPr>
            <w:tcW w:type="dxa" w:w="2880"/>
          </w:tcPr>
          <w:p>
            <w:pPr>
              <w:jc w:val="right"/>
            </w:pPr>
            <w:r>
              <w:rPr>
                <w:rFonts w:ascii="Arial" w:hAnsi="Arial" w:eastAsia="Arial"/>
              </w:rPr>
              <w:t>عرض مشاريع "قبل وبعد"</w:t>
            </w:r>
          </w:p>
        </w:tc>
        <w:tc>
          <w:tcPr>
            <w:tcW w:type="dxa" w:w="2880"/>
          </w:tcPr>
          <w:p>
            <w:pPr>
              <w:jc w:val="right"/>
            </w:pPr>
            <w:r>
              <w:rPr>
                <w:rFonts w:ascii="Arial" w:hAnsi="Arial" w:eastAsia="Arial"/>
              </w:rPr>
              <w:t>5,000 ريال</w:t>
            </w:r>
          </w:p>
        </w:tc>
      </w:tr>
      <w:tr>
        <w:tc>
          <w:tcPr>
            <w:tcW w:type="dxa" w:w="2880"/>
          </w:tcPr>
          <w:p>
            <w:pPr>
              <w:jc w:val="right"/>
            </w:pPr>
            <w:r>
              <w:rPr>
                <w:rFonts w:ascii="Arial" w:hAnsi="Arial" w:eastAsia="Arial"/>
              </w:rPr>
              <w:t>SEO</w:t>
            </w:r>
          </w:p>
        </w:tc>
        <w:tc>
          <w:tcPr>
            <w:tcW w:type="dxa" w:w="2880"/>
          </w:tcPr>
          <w:p>
            <w:pPr>
              <w:jc w:val="right"/>
            </w:pPr>
            <w:r>
              <w:rPr>
                <w:rFonts w:ascii="Arial" w:hAnsi="Arial" w:eastAsia="Arial"/>
              </w:rPr>
              <w:t>الظهور في "إحياء المباني"</w:t>
            </w:r>
          </w:p>
        </w:tc>
        <w:tc>
          <w:tcPr>
            <w:tcW w:type="dxa" w:w="2880"/>
          </w:tcPr>
          <w:p>
            <w:pPr>
              <w:jc w:val="right"/>
            </w:pPr>
            <w:r>
              <w:rPr>
                <w:rFonts w:ascii="Arial" w:hAnsi="Arial" w:eastAsia="Arial"/>
              </w:rPr>
              <w:t>3,000 ريال</w:t>
            </w:r>
          </w:p>
        </w:tc>
      </w:tr>
      <w:tr>
        <w:tc>
          <w:tcPr>
            <w:tcW w:type="dxa" w:w="2880"/>
          </w:tcPr>
          <w:p>
            <w:pPr>
              <w:jc w:val="right"/>
            </w:pPr>
            <w:r>
              <w:rPr>
                <w:rFonts w:ascii="Arial" w:hAnsi="Arial" w:eastAsia="Arial"/>
              </w:rPr>
              <w:t>LinkedIn</w:t>
            </w:r>
          </w:p>
        </w:tc>
        <w:tc>
          <w:tcPr>
            <w:tcW w:type="dxa" w:w="2880"/>
          </w:tcPr>
          <w:p>
            <w:pPr>
              <w:jc w:val="right"/>
            </w:pPr>
            <w:r>
              <w:rPr>
                <w:rFonts w:ascii="Arial" w:hAnsi="Arial" w:eastAsia="Arial"/>
              </w:rPr>
              <w:t>الوصول للمستثمرين والمالكين</w:t>
            </w:r>
          </w:p>
        </w:tc>
        <w:tc>
          <w:tcPr>
            <w:tcW w:type="dxa" w:w="2880"/>
          </w:tcPr>
          <w:p>
            <w:pPr>
              <w:jc w:val="right"/>
            </w:pPr>
            <w:r>
              <w:rPr>
                <w:rFonts w:ascii="Arial" w:hAnsi="Arial" w:eastAsia="Arial"/>
              </w:rPr>
              <w:t>2,000 ريال</w:t>
            </w:r>
          </w:p>
        </w:tc>
      </w:tr>
    </w:tbl>
    <w:p>
      <w:pPr>
        <w:pStyle w:val="Heading2"/>
        <w:jc w:val="right"/>
      </w:pPr>
      <w:r>
        <w:rPr>
          <w:rFonts w:ascii="Arial" w:hAnsi="Arial" w:eastAsia="Arial"/>
          <w:color w:val="D4A853"/>
        </w:rPr>
        <w:t>13.2 قمع المبيعات</w:t>
      </w:r>
    </w:p>
    <w:p>
      <w:pPr>
        <w:pStyle w:val="ListBullet"/>
        <w:jc w:val="right"/>
      </w:pPr>
      <w:r>
        <w:rPr>
          <w:rFonts w:ascii="Arial" w:hAnsi="Arial" w:eastAsia="Arial"/>
          <w:sz w:val="22"/>
        </w:rPr>
        <w:t>الوعي: 100,000 شخص/شهر</w:t>
      </w:r>
    </w:p>
    <w:p>
      <w:pPr>
        <w:pStyle w:val="ListBullet"/>
        <w:jc w:val="right"/>
      </w:pPr>
      <w:r>
        <w:rPr>
          <w:rFonts w:ascii="Arial" w:hAnsi="Arial" w:eastAsia="Arial"/>
          <w:sz w:val="22"/>
        </w:rPr>
        <w:t>الاهتمام: 5,000 شخص/شهر</w:t>
      </w:r>
    </w:p>
    <w:p>
      <w:pPr>
        <w:pStyle w:val="ListBullet"/>
        <w:jc w:val="right"/>
      </w:pPr>
      <w:r>
        <w:rPr>
          <w:rFonts w:ascii="Arial" w:hAnsi="Arial" w:eastAsia="Arial"/>
          <w:sz w:val="22"/>
        </w:rPr>
        <w:t>التقييم: 500 مالك/شهر</w:t>
      </w:r>
    </w:p>
    <w:p>
      <w:pPr>
        <w:pStyle w:val="ListBullet"/>
        <w:jc w:val="right"/>
      </w:pPr>
      <w:r>
        <w:rPr>
          <w:rFonts w:ascii="Arial" w:hAnsi="Arial" w:eastAsia="Arial"/>
          <w:sz w:val="22"/>
        </w:rPr>
        <w:t>النية: 50 اجتماع/شهر</w:t>
      </w:r>
    </w:p>
    <w:p>
      <w:pPr>
        <w:pStyle w:val="ListBullet"/>
        <w:jc w:val="right"/>
      </w:pPr>
      <w:r>
        <w:rPr>
          <w:rFonts w:ascii="Arial" w:hAnsi="Arial" w:eastAsia="Arial"/>
          <w:sz w:val="22"/>
        </w:rPr>
        <w:t>الشراء: 2-4 عقد/شهر</w:t>
      </w:r>
    </w:p>
    <w:p>
      <w:r>
        <w:br w:type="page"/>
      </w:r>
    </w:p>
    <w:p>
      <w:pPr>
        <w:pStyle w:val="Heading1"/>
        <w:jc w:val="right"/>
      </w:pPr>
      <w:r>
        <w:rPr>
          <w:rFonts w:ascii="Arial" w:hAnsi="Arial" w:eastAsia="Arial"/>
          <w:color w:val="003366"/>
        </w:rPr>
        <w:t>14. خطة التشغيل والجودة</w:t>
      </w:r>
    </w:p>
    <w:p>
      <w:pPr>
        <w:jc w:val="right"/>
      </w:pPr>
      <w:r>
        <w:rPr>
          <w:rFonts w:ascii="Arial" w:hAnsi="Arial" w:eastAsia="Arial"/>
          <w:b w:val="0"/>
          <w:i w:val="0"/>
          <w:sz w:val="24"/>
        </w:rPr>
        <w:t>تلتزم الشركة بمعايير جودة صارمة والكود السعودي للبناء. يمر كل مشروع بست مراحل مع تفتيشات وموافقات موثقة.</w:t>
      </w:r>
    </w:p>
    <w:p>
      <w:pPr>
        <w:pStyle w:val="Heading2"/>
        <w:jc w:val="right"/>
      </w:pPr>
      <w:r>
        <w:rPr>
          <w:rFonts w:ascii="Arial" w:hAnsi="Arial" w:eastAsia="Arial"/>
          <w:color w:val="D4A853"/>
        </w:rPr>
        <w:t>معايير الجودة</w:t>
      </w:r>
    </w:p>
    <w:p>
      <w:pPr>
        <w:pStyle w:val="ListBullet"/>
        <w:jc w:val="right"/>
      </w:pPr>
      <w:r>
        <w:rPr>
          <w:rFonts w:ascii="Arial" w:hAnsi="Arial" w:eastAsia="Arial"/>
          <w:sz w:val="22"/>
        </w:rPr>
        <w:t>الالتزام الكامل بكود البناء السعودي (SBC).</w:t>
      </w:r>
    </w:p>
    <w:p>
      <w:pPr>
        <w:pStyle w:val="ListBullet"/>
        <w:jc w:val="right"/>
      </w:pPr>
      <w:r>
        <w:rPr>
          <w:rFonts w:ascii="Arial" w:hAnsi="Arial" w:eastAsia="Arial"/>
          <w:sz w:val="22"/>
        </w:rPr>
        <w:t>فحوصات جودة دورية في كل مرحلة من مراحل التشطيب.</w:t>
      </w:r>
    </w:p>
    <w:p>
      <w:pPr>
        <w:pStyle w:val="ListBullet"/>
        <w:jc w:val="right"/>
      </w:pPr>
      <w:r>
        <w:rPr>
          <w:rFonts w:ascii="Arial" w:hAnsi="Arial" w:eastAsia="Arial"/>
          <w:sz w:val="22"/>
        </w:rPr>
        <w:t>توثيق جميع المواد المستخدمة وشهادات المطابقة.</w:t>
      </w:r>
    </w:p>
    <w:p>
      <w:pPr>
        <w:pStyle w:val="ListBullet"/>
        <w:jc w:val="right"/>
      </w:pPr>
      <w:r>
        <w:rPr>
          <w:rFonts w:ascii="Arial" w:hAnsi="Arial" w:eastAsia="Arial"/>
          <w:sz w:val="22"/>
        </w:rPr>
        <w:t>التسليم بملف فني وقانوني كامل.</w:t>
      </w:r>
    </w:p>
    <w:p>
      <w:pPr>
        <w:pStyle w:val="Heading2"/>
        <w:jc w:val="right"/>
      </w:pPr>
      <w:r>
        <w:rPr>
          <w:rFonts w:ascii="Arial" w:hAnsi="Arial" w:eastAsia="Arial"/>
          <w:color w:val="D4A853"/>
        </w:rPr>
        <w:t>التغطية التأمينية</w:t>
      </w:r>
    </w:p>
    <w:p>
      <w:pPr>
        <w:pStyle w:val="ListBullet"/>
        <w:jc w:val="right"/>
      </w:pPr>
      <w:r>
        <w:rPr>
          <w:rFonts w:ascii="Arial" w:hAnsi="Arial" w:eastAsia="Arial"/>
          <w:sz w:val="22"/>
        </w:rPr>
        <w:t>تأمين المقاولين الشامل (CAR).</w:t>
      </w:r>
    </w:p>
    <w:p>
      <w:pPr>
        <w:pStyle w:val="ListBullet"/>
        <w:jc w:val="right"/>
      </w:pPr>
      <w:r>
        <w:rPr>
          <w:rFonts w:ascii="Arial" w:hAnsi="Arial" w:eastAsia="Arial"/>
          <w:sz w:val="22"/>
        </w:rPr>
        <w:t>تأمين المسؤولية المدنية العامة.</w:t>
      </w:r>
    </w:p>
    <w:p>
      <w:pPr>
        <w:pStyle w:val="ListBullet"/>
        <w:jc w:val="right"/>
      </w:pPr>
      <w:r>
        <w:rPr>
          <w:rFonts w:ascii="Arial" w:hAnsi="Arial" w:eastAsia="Arial"/>
          <w:sz w:val="22"/>
        </w:rPr>
        <w:t>تأمين العيوب الخفية.</w:t>
      </w:r>
    </w:p>
    <w:p>
      <w:pPr>
        <w:pStyle w:val="ListBullet"/>
        <w:jc w:val="right"/>
      </w:pPr>
      <w:r>
        <w:rPr>
          <w:rFonts w:ascii="Arial" w:hAnsi="Arial" w:eastAsia="Arial"/>
          <w:sz w:val="22"/>
        </w:rPr>
        <w:t>تأمين المسؤولية المهنية للمهندسين.</w:t>
      </w:r>
    </w:p>
    <w:p>
      <w:r>
        <w:br w:type="page"/>
      </w:r>
    </w:p>
    <w:p>
      <w:pPr>
        <w:pStyle w:val="Heading1"/>
        <w:jc w:val="right"/>
      </w:pPr>
      <w:r>
        <w:rPr>
          <w:rFonts w:ascii="Arial" w:hAnsi="Arial" w:eastAsia="Arial"/>
          <w:color w:val="003366"/>
        </w:rPr>
        <w:t>15. الخاتمة والتوصيات</w:t>
      </w:r>
    </w:p>
    <w:p>
      <w:pPr>
        <w:jc w:val="right"/>
      </w:pPr>
      <w:r>
        <w:rPr>
          <w:rFonts w:ascii="Arial" w:hAnsi="Arial" w:eastAsia="Arial"/>
          <w:b w:val="0"/>
          <w:i w:val="0"/>
          <w:sz w:val="24"/>
        </w:rPr>
        <w:t>تقدم شركة إحياء الأصول غير المكتملة العقارية فرصة استثمارية فريدة في السوق العقاري السعودي. يعتمد النموذج التجاري على الشراكة المحاصة مع مالكي العقارات غير المكتملة، مما يلغي الحاجة إلى شراء الأراضي ويقلل رأس المال المطلوب.</w:t>
      </w:r>
    </w:p>
    <w:p>
      <w:pPr>
        <w:pStyle w:val="Heading2"/>
        <w:jc w:val="right"/>
      </w:pPr>
      <w:r>
        <w:rPr>
          <w:rFonts w:ascii="Arial" w:hAnsi="Arial" w:eastAsia="Arial"/>
          <w:color w:val="D4A853"/>
        </w:rPr>
        <w:t>التوصيات الرئيسية</w:t>
      </w:r>
    </w:p>
    <w:p>
      <w:pPr>
        <w:pStyle w:val="ListBullet"/>
        <w:jc w:val="right"/>
      </w:pPr>
      <w:r>
        <w:rPr>
          <w:rFonts w:ascii="Arial" w:hAnsi="Arial" w:eastAsia="Arial"/>
          <w:sz w:val="22"/>
        </w:rPr>
        <w:t>البدء بمرحلة تجريبية بـ 25 مليون ريال و3-5 مشاريع قياسية.</w:t>
      </w:r>
    </w:p>
    <w:p>
      <w:pPr>
        <w:pStyle w:val="ListBullet"/>
        <w:jc w:val="right"/>
      </w:pPr>
      <w:r>
        <w:rPr>
          <w:rFonts w:ascii="Arial" w:hAnsi="Arial" w:eastAsia="Arial"/>
          <w:sz w:val="22"/>
        </w:rPr>
        <w:t>التركيز على مدينة واحدة (الرياض أو جدة) في السنوات الأولى.</w:t>
      </w:r>
    </w:p>
    <w:p>
      <w:pPr>
        <w:pStyle w:val="ListBullet"/>
        <w:jc w:val="right"/>
      </w:pPr>
      <w:r>
        <w:rPr>
          <w:rFonts w:ascii="Arial" w:hAnsi="Arial" w:eastAsia="Arial"/>
          <w:sz w:val="22"/>
        </w:rPr>
        <w:t>بناء قاعدة بيانات للأصول غير المكتملة قبل الإطلاق الرسمي.</w:t>
      </w:r>
    </w:p>
    <w:p>
      <w:pPr>
        <w:pStyle w:val="ListBullet"/>
        <w:jc w:val="right"/>
      </w:pPr>
      <w:r>
        <w:rPr>
          <w:rFonts w:ascii="Arial" w:hAnsi="Arial" w:eastAsia="Arial"/>
          <w:sz w:val="22"/>
        </w:rPr>
        <w:t>إبرام شراكات مع مقاولين معتمدين يقدمون كفالات بنكية.</w:t>
      </w:r>
    </w:p>
    <w:p>
      <w:pPr>
        <w:pStyle w:val="ListBullet"/>
        <w:jc w:val="right"/>
      </w:pPr>
      <w:r>
        <w:rPr>
          <w:rFonts w:ascii="Arial" w:hAnsi="Arial" w:eastAsia="Arial"/>
          <w:sz w:val="22"/>
        </w:rPr>
        <w:t>إدراج شرط تحكيم ملزم في جميع عقود المحاصة.</w:t>
      </w:r>
    </w:p>
    <w:p>
      <w:pPr>
        <w:pStyle w:val="ListBullet"/>
        <w:jc w:val="right"/>
      </w:pPr>
      <w:r>
        <w:rPr>
          <w:rFonts w:ascii="Arial" w:hAnsi="Arial" w:eastAsia="Arial"/>
          <w:sz w:val="22"/>
        </w:rPr>
        <w:t>تطوير نظام ERP لإدارة المحفظة والتدفقات النقدية.</w:t>
      </w:r>
    </w:p>
    <w:p>
      <w:pPr>
        <w:pStyle w:val="ListBullet"/>
        <w:jc w:val="right"/>
      </w:pPr>
      <w:r>
        <w:rPr>
          <w:rFonts w:ascii="Arial" w:hAnsi="Arial" w:eastAsia="Arial"/>
          <w:sz w:val="22"/>
        </w:rPr>
        <w:t>إعداد عقد محاصة موحد يحفظ حقوق الشركة والمالك.</w:t>
      </w:r>
    </w:p>
    <w:p>
      <w:pPr>
        <w:pStyle w:val="Heading2"/>
        <w:jc w:val="right"/>
      </w:pPr>
      <w:r>
        <w:rPr>
          <w:rFonts w:ascii="Arial" w:hAnsi="Arial" w:eastAsia="Arial"/>
          <w:color w:val="D4A853"/>
        </w:rPr>
        <w:t>مصفوفة قرار الاستثمار</w:t>
      </w:r>
    </w:p>
    <w:p>
      <w:pPr>
        <w:jc w:val="right"/>
      </w:pPr>
      <w:r>
        <w:rPr>
          <w:rFonts w:ascii="Arial" w:hAnsi="Arial" w:eastAsia="Arial"/>
          <w:b w:val="0"/>
          <w:i w:val="0"/>
          <w:sz w:val="24"/>
        </w:rPr>
        <w:t>هذا المشروع مناسب للمستثمرين الذين يفهمون أن العقارات تحتاج صبراً 5-7 سنوات، ويقبلون سنة أولى تأسيسية، ويقدرون المخاطر المحسوبة مع IRR متوقع 18.5% وعائد رأسمالي 2.5x-4x عند الخروج.</w:t>
      </w:r>
    </w:p>
    <w:p>
      <w:r>
        <w:br w:type="page"/>
      </w:r>
    </w:p>
    <w:p>
      <w:pPr>
        <w:pStyle w:val="Heading1"/>
        <w:jc w:val="right"/>
      </w:pPr>
      <w:r>
        <w:rPr>
          <w:rFonts w:ascii="Arial" w:hAnsi="Arial" w:eastAsia="Arial"/>
          <w:color w:val="003366"/>
        </w:rPr>
        <w:t>16. إثراءات السوق</w:t>
      </w:r>
    </w:p>
    <w:p>
      <w:pPr>
        <w:jc w:val="right"/>
      </w:pPr>
      <w:r>
        <w:rPr>
          <w:rFonts w:ascii="Arial" w:hAnsi="Arial" w:eastAsia="Arial"/>
          <w:b w:val="0"/>
          <w:i w:val="0"/>
          <w:sz w:val="24"/>
        </w:rPr>
        <w:t>يمكن للشركة استكشاف فرص إضافية لخلق قيمة:</w:t>
      </w:r>
    </w:p>
    <w:p>
      <w:pPr>
        <w:pStyle w:val="ListBullet"/>
        <w:jc w:val="right"/>
      </w:pPr>
      <w:r>
        <w:rPr>
          <w:rFonts w:ascii="Arial" w:hAnsi="Arial" w:eastAsia="Arial"/>
          <w:sz w:val="22"/>
        </w:rPr>
        <w:t>الصكوك العقارية: سندات إسلامية مدعومة بالأصول للتوسع بعد بناء سجل حافل.</w:t>
      </w:r>
    </w:p>
    <w:p>
      <w:pPr>
        <w:pStyle w:val="ListBullet"/>
        <w:jc w:val="right"/>
      </w:pPr>
      <w:r>
        <w:rPr>
          <w:rFonts w:ascii="Arial" w:hAnsi="Arial" w:eastAsia="Arial"/>
          <w:sz w:val="22"/>
        </w:rPr>
        <w:t>التمويل الجماعي العقاري: شراكات مع منصات مرخصة لتنويع مصادر التمويل.</w:t>
      </w:r>
    </w:p>
    <w:p>
      <w:pPr>
        <w:pStyle w:val="ListBullet"/>
        <w:jc w:val="right"/>
      </w:pPr>
      <w:r>
        <w:rPr>
          <w:rFonts w:ascii="Arial" w:hAnsi="Arial" w:eastAsia="Arial"/>
          <w:sz w:val="22"/>
        </w:rPr>
        <w:t>تقنية المباني الذكية: حلول KNX والبناء الأخضر للتميز وتسريع المبيعات.</w:t>
      </w:r>
    </w:p>
    <w:p>
      <w:pPr>
        <w:pStyle w:val="ListBullet"/>
        <w:jc w:val="right"/>
      </w:pPr>
      <w:r>
        <w:rPr>
          <w:rFonts w:ascii="Arial" w:hAnsi="Arial" w:eastAsia="Arial"/>
          <w:sz w:val="22"/>
        </w:rPr>
        <w:t>الإجراءات القضائية: فهم واضح لإجراءات التنفيذ عبر منصات وزارة العدل.</w:t>
      </w:r>
    </w:p>
    <w:p>
      <w:r>
        <w:br w:type="page"/>
      </w:r>
    </w:p>
    <w:p>
      <w:pPr>
        <w:pStyle w:val="Heading1"/>
        <w:jc w:val="right"/>
      </w:pPr>
      <w:r>
        <w:rPr>
          <w:rFonts w:ascii="Arial" w:hAnsi="Arial" w:eastAsia="Arial"/>
          <w:color w:val="003366"/>
        </w:rPr>
        <w:t>17. المراجع والمصادر</w:t>
      </w:r>
    </w:p>
    <w:p>
      <w:pPr>
        <w:pStyle w:val="Heading2"/>
        <w:jc w:val="right"/>
      </w:pPr>
      <w:r>
        <w:rPr>
          <w:rFonts w:ascii="Arial" w:hAnsi="Arial" w:eastAsia="Arial"/>
          <w:color w:val="D4A853"/>
        </w:rPr>
        <w:t>مصادر رسمية سعودية</w:t>
      </w:r>
    </w:p>
    <w:p>
      <w:pPr>
        <w:pStyle w:val="ListBullet"/>
        <w:jc w:val="right"/>
      </w:pPr>
      <w:r>
        <w:rPr>
          <w:rFonts w:ascii="Arial" w:hAnsi="Arial" w:eastAsia="Arial"/>
          <w:sz w:val="22"/>
        </w:rPr>
        <w:t>البنك المركزي السعودي (ساما) - إحصائيات التمويل العقاري</w:t>
      </w:r>
    </w:p>
    <w:p>
      <w:pPr>
        <w:pStyle w:val="ListBullet"/>
        <w:jc w:val="right"/>
      </w:pPr>
      <w:r>
        <w:rPr>
          <w:rFonts w:ascii="Arial" w:hAnsi="Arial" w:eastAsia="Arial"/>
          <w:sz w:val="22"/>
        </w:rPr>
        <w:t>الهيئة العامة للعقار (REGA) - مؤشرات الأسعار والتراخيص</w:t>
      </w:r>
    </w:p>
    <w:p>
      <w:pPr>
        <w:pStyle w:val="ListBullet"/>
        <w:jc w:val="right"/>
      </w:pPr>
      <w:r>
        <w:rPr>
          <w:rFonts w:ascii="Arial" w:hAnsi="Arial" w:eastAsia="Arial"/>
          <w:sz w:val="22"/>
        </w:rPr>
        <w:t>وزارة العدل - بيانات الصفقات العقارية</w:t>
      </w:r>
    </w:p>
    <w:p>
      <w:pPr>
        <w:pStyle w:val="ListBullet"/>
        <w:jc w:val="right"/>
      </w:pPr>
      <w:r>
        <w:rPr>
          <w:rFonts w:ascii="Arial" w:hAnsi="Arial" w:eastAsia="Arial"/>
          <w:sz w:val="22"/>
        </w:rPr>
        <w:t>منصة رغدان - أسعار المربع السكني</w:t>
      </w:r>
    </w:p>
    <w:p>
      <w:pPr>
        <w:pStyle w:val="ListBullet"/>
        <w:jc w:val="right"/>
      </w:pPr>
      <w:r>
        <w:rPr>
          <w:rFonts w:ascii="Arial" w:hAnsi="Arial" w:eastAsia="Arial"/>
          <w:sz w:val="22"/>
        </w:rPr>
        <w:t>منصة بلدي - رخص البناء والمخالفات</w:t>
      </w:r>
    </w:p>
    <w:p>
      <w:pPr>
        <w:pStyle w:val="Heading2"/>
        <w:jc w:val="right"/>
      </w:pPr>
      <w:r>
        <w:rPr>
          <w:rFonts w:ascii="Arial" w:hAnsi="Arial" w:eastAsia="Arial"/>
          <w:color w:val="D4A853"/>
        </w:rPr>
        <w:t>تقارير بحثية</w:t>
      </w:r>
    </w:p>
    <w:p>
      <w:pPr>
        <w:pStyle w:val="ListBullet"/>
        <w:jc w:val="right"/>
      </w:pPr>
      <w:r>
        <w:rPr>
          <w:rFonts w:ascii="Arial" w:hAnsi="Arial" w:eastAsia="Arial"/>
          <w:sz w:val="22"/>
        </w:rPr>
        <w:t>Knight Frank - Saudi Real Estate Report 2026</w:t>
      </w:r>
    </w:p>
    <w:p>
      <w:pPr>
        <w:pStyle w:val="ListBullet"/>
        <w:jc w:val="right"/>
      </w:pPr>
      <w:r>
        <w:rPr>
          <w:rFonts w:ascii="Arial" w:hAnsi="Arial" w:eastAsia="Arial"/>
          <w:sz w:val="22"/>
        </w:rPr>
        <w:t>KAPSARC - تحليل السوق الإسكاني</w:t>
      </w:r>
    </w:p>
    <w:p>
      <w:pPr>
        <w:pStyle w:val="ListBullet"/>
        <w:jc w:val="right"/>
      </w:pPr>
      <w:r>
        <w:rPr>
          <w:rFonts w:ascii="Arial" w:hAnsi="Arial" w:eastAsia="Arial"/>
          <w:sz w:val="22"/>
        </w:rPr>
        <w:t>Sands of Wealth - Jeddah Housing Prices 2026</w:t>
      </w:r>
    </w:p>
    <w:p>
      <w:r>
        <w:br w:type="page"/>
      </w:r>
    </w:p>
    <w:p>
      <w:pPr>
        <w:pStyle w:val="Heading1"/>
        <w:jc w:val="right"/>
      </w:pPr>
      <w:r>
        <w:rPr>
          <w:rFonts w:ascii="Arial" w:hAnsi="Arial" w:eastAsia="Arial"/>
          <w:color w:val="003366"/>
        </w:rPr>
        <w:t>ملحق أ: تحليل استراتيجي مستقل</w:t>
      </w:r>
    </w:p>
    <w:p>
      <w:pPr>
        <w:jc w:val="right"/>
      </w:pPr>
      <w:r>
        <w:rPr>
          <w:rFonts w:ascii="Arial" w:hAnsi="Arial" w:eastAsia="Arial"/>
          <w:b w:val="0"/>
          <w:i w:val="0"/>
          <w:sz w:val="24"/>
        </w:rPr>
        <w:t>يقدم هذا الملحق مراجعة استراتيجية مستقلة لدراسة الجدوى، بهدف تعزيز المصداقية وإظهار أن الدراسة قابلة لتحمل التدقيق الخارجي.</w:t>
      </w:r>
    </w:p>
    <w:p>
      <w:pPr>
        <w:pStyle w:val="Heading2"/>
        <w:jc w:val="right"/>
      </w:pPr>
      <w:r>
        <w:rPr>
          <w:rFonts w:ascii="Arial" w:hAnsi="Arial" w:eastAsia="Arial"/>
          <w:color w:val="D4A853"/>
        </w:rPr>
        <w:t>أ.1 هيكل رأس المال والسيولة</w:t>
      </w:r>
    </w:p>
    <w:p>
      <w:pPr>
        <w:jc w:val="right"/>
      </w:pPr>
      <w:r>
        <w:rPr>
          <w:rFonts w:ascii="Arial" w:hAnsi="Arial" w:eastAsia="Arial"/>
          <w:b w:val="0"/>
          <w:i w:val="0"/>
          <w:sz w:val="24"/>
        </w:rPr>
        <w:t>تعتمد الدراسة بحكمة على سقف رأس مال مرن قدره 226 مليون ريال، مع بدء العمليات الفعلية بمبلغ 25 مليون ريال فقط. يجنب هذا النهج تجميد رأس المال في المراحل المبكرة ويقلل من مخاطر المستثمرين.</w:t>
      </w:r>
    </w:p>
    <w:p>
      <w:pPr>
        <w:pStyle w:val="Heading2"/>
        <w:jc w:val="right"/>
      </w:pPr>
      <w:r>
        <w:rPr>
          <w:rFonts w:ascii="Arial" w:hAnsi="Arial" w:eastAsia="Arial"/>
          <w:color w:val="D4A853"/>
        </w:rPr>
        <w:t>أ.2 استراتيجية إثبات النموذج</w:t>
      </w:r>
    </w:p>
    <w:p>
      <w:pPr>
        <w:jc w:val="right"/>
      </w:pPr>
      <w:r>
        <w:rPr>
          <w:rFonts w:ascii="Arial" w:hAnsi="Arial" w:eastAsia="Arial"/>
          <w:b w:val="0"/>
          <w:i w:val="0"/>
          <w:sz w:val="24"/>
        </w:rPr>
        <w:t>البدء بـ 3-5 مشاريع قياسية على مدار 12-18 شهراً هو نهج حكيم. يجب وضع معالم صارمة قبل الانتقال للمرحلة التوسعية، بما في ذلك تحقيق 80% مبيعات وصافي ربح 1.5 مليون ريال.</w:t>
      </w:r>
    </w:p>
    <w:p>
      <w:pPr>
        <w:pStyle w:val="Heading2"/>
        <w:jc w:val="right"/>
      </w:pPr>
      <w:r>
        <w:rPr>
          <w:rFonts w:ascii="Arial" w:hAnsi="Arial" w:eastAsia="Arial"/>
          <w:color w:val="D4A853"/>
        </w:rPr>
        <w:t>أ.3 خلق القيمة طويلة المدى</w:t>
      </w:r>
    </w:p>
    <w:p>
      <w:pPr>
        <w:jc w:val="right"/>
      </w:pPr>
      <w:r>
        <w:rPr>
          <w:rFonts w:ascii="Arial" w:hAnsi="Arial" w:eastAsia="Arial"/>
          <w:b w:val="0"/>
          <w:i w:val="0"/>
          <w:sz w:val="24"/>
        </w:rPr>
        <w:t>يجب النظر إلى هذا الاستثمار كنموذج استثمار قيمة (Value Investing). العائد الحقيقي يأتي من تراكم قيمة الأصول والعلامة التجارية وتدفقات الإيرادات المتكررة وليس من التوزيعات السنوية الفورية.</w:t>
      </w:r>
    </w:p>
    <w:p>
      <w:r>
        <w:br w:type="page"/>
      </w:r>
    </w:p>
    <w:p>
      <w:pPr>
        <w:pStyle w:val="Heading1"/>
        <w:jc w:val="right"/>
      </w:pPr>
      <w:r>
        <w:rPr>
          <w:rFonts w:ascii="Arial" w:hAnsi="Arial" w:eastAsia="Arial"/>
          <w:color w:val="003366"/>
        </w:rPr>
        <w:t>ملحق ب: تقييم المستثمر</w:t>
      </w:r>
    </w:p>
    <w:p>
      <w:pPr>
        <w:jc w:val="right"/>
      </w:pPr>
      <w:r>
        <w:rPr>
          <w:rFonts w:ascii="Arial" w:hAnsi="Arial" w:eastAsia="Arial"/>
          <w:b w:val="0"/>
          <w:i w:val="0"/>
          <w:sz w:val="24"/>
        </w:rPr>
        <w:t>يقدم هذا الملحق رؤية عملانية من منظور مستثمر عملاني، مع تسليط الضوء على نقاط القوة والقلق.</w:t>
      </w:r>
    </w:p>
    <w:p>
      <w:pPr>
        <w:pStyle w:val="Heading2"/>
        <w:jc w:val="right"/>
      </w:pPr>
      <w:r>
        <w:rPr>
          <w:rFonts w:ascii="Arial" w:hAnsi="Arial" w:eastAsia="Arial"/>
          <w:color w:val="D4A853"/>
        </w:rPr>
        <w:t>ب.1 محرك القيمة الرئيسي</w:t>
      </w:r>
    </w:p>
    <w:p>
      <w:pPr>
        <w:jc w:val="right"/>
      </w:pPr>
      <w:r>
        <w:rPr>
          <w:rFonts w:ascii="Arial" w:hAnsi="Arial" w:eastAsia="Arial"/>
          <w:b w:val="0"/>
          <w:i w:val="0"/>
          <w:sz w:val="24"/>
        </w:rPr>
        <w:t>القيمة الحقيقية ليست في التشطيب أو التقنية الذكية، بل في القدرة على الوصول للمباني غير المكتملة قبل المنافسين. العلاقات القوية مع المالكين، المصفين، المحامين، الوسطاء والبنوك تخلق ميزة تنافسية مستدامة.</w:t>
      </w:r>
    </w:p>
    <w:p>
      <w:pPr>
        <w:pStyle w:val="Heading2"/>
        <w:jc w:val="right"/>
      </w:pPr>
      <w:r>
        <w:rPr>
          <w:rFonts w:ascii="Arial" w:hAnsi="Arial" w:eastAsia="Arial"/>
          <w:color w:val="D4A853"/>
        </w:rPr>
        <w:t>ب.2 القلق الرئيسي</w:t>
      </w:r>
    </w:p>
    <w:p>
      <w:pPr>
        <w:jc w:val="right"/>
      </w:pPr>
      <w:r>
        <w:rPr>
          <w:rFonts w:ascii="Arial" w:hAnsi="Arial" w:eastAsia="Arial"/>
          <w:b w:val="0"/>
          <w:i w:val="0"/>
          <w:sz w:val="24"/>
        </w:rPr>
        <w:t>تفترض الدراسة تسارعاً سريعاً: مشروعين في السنة الأولى، 4 في الثانية، 6 في الثالثة، و10 في الخامسة. الجزء الأكثر تحدياً ليس التنفيذ، بل الحصول على المباني المناسبة.</w:t>
      </w:r>
    </w:p>
    <w:p>
      <w:pPr>
        <w:pStyle w:val="Heading2"/>
        <w:jc w:val="right"/>
      </w:pPr>
      <w:r>
        <w:rPr>
          <w:rFonts w:ascii="Arial" w:hAnsi="Arial" w:eastAsia="Arial"/>
          <w:color w:val="D4A853"/>
        </w:rPr>
        <w:t>ب.3 التوصيات</w:t>
      </w:r>
    </w:p>
    <w:p>
      <w:pPr>
        <w:pStyle w:val="ListBullet"/>
        <w:jc w:val="right"/>
      </w:pPr>
      <w:r>
        <w:rPr>
          <w:rFonts w:ascii="Arial" w:hAnsi="Arial" w:eastAsia="Arial"/>
          <w:sz w:val="22"/>
        </w:rPr>
        <w:t>الإبقاء على الهيكل الإداري مرناً - 15 موظفاً بتكلفة 3.06 مليون ريال سنوياً هو أمر معقول.</w:t>
      </w:r>
    </w:p>
    <w:p>
      <w:pPr>
        <w:pStyle w:val="ListBullet"/>
        <w:jc w:val="right"/>
      </w:pPr>
      <w:r>
        <w:rPr>
          <w:rFonts w:ascii="Arial" w:hAnsi="Arial" w:eastAsia="Arial"/>
          <w:sz w:val="22"/>
        </w:rPr>
        <w:t>تموضع الشركة كشركة إحياء أصول عقارية، وليست شركة مباني ذكية.</w:t>
      </w:r>
    </w:p>
    <w:p>
      <w:pPr>
        <w:pStyle w:val="ListBullet"/>
        <w:jc w:val="right"/>
      </w:pPr>
      <w:r>
        <w:rPr>
          <w:rFonts w:ascii="Arial" w:hAnsi="Arial" w:eastAsia="Arial"/>
          <w:sz w:val="22"/>
        </w:rPr>
        <w:t>التركيز جغرافياً في البداية - البدء بجدة فقط.</w:t>
      </w:r>
    </w:p>
    <w:p>
      <w:pPr>
        <w:pStyle w:val="ListBullet"/>
        <w:jc w:val="right"/>
      </w:pPr>
      <w:r>
        <w:rPr>
          <w:rFonts w:ascii="Arial" w:hAnsi="Arial" w:eastAsia="Arial"/>
          <w:sz w:val="22"/>
        </w:rPr>
        <w:t>المشروع الأول: عمارة سكنية 6-12 شقة.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