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3366"/>
          <w:sz w:val="88"/>
        </w:rPr>
        <w:t>Feasibility Study</w:t>
      </w:r>
    </w:p>
    <w:p/>
    <w:p>
      <w:pPr>
        <w:jc w:val="center"/>
      </w:pPr>
      <w:r>
        <w:rPr>
          <w:rFonts w:ascii="Arial" w:hAnsi="Arial" w:eastAsia="Arial"/>
          <w:b/>
          <w:color w:val="D4A853"/>
          <w:sz w:val="64"/>
        </w:rPr>
        <w:t>Real Estate Asset Revitalization Company</w:t>
      </w:r>
    </w:p>
    <w:p/>
    <w:p>
      <w:pPr>
        <w:jc w:val="center"/>
      </w:pPr>
      <w:r>
        <w:rPr>
          <w:rFonts w:ascii="Arial" w:hAnsi="Arial" w:eastAsia="Arial"/>
          <w:b/>
          <w:sz w:val="36"/>
        </w:rPr>
        <w:t>Closed Joint Stock Company</w:t>
      </w:r>
    </w:p>
    <w:p/>
    <w:p>
      <w:pPr>
        <w:jc w:val="center"/>
      </w:pPr>
      <w:r>
        <w:rPr>
          <w:rFonts w:ascii="Arial" w:hAnsi="Arial" w:eastAsia="Arial"/>
          <w:color w:val="666666"/>
          <w:sz w:val="32"/>
        </w:rPr>
        <w:t>Kingdom of Saudi Arabia</w:t>
      </w:r>
    </w:p>
    <w:p/>
    <w:p/>
    <w:p>
      <w:pPr>
        <w:jc w:val="center"/>
      </w:pPr>
      <w:r>
        <w:rPr>
          <w:rFonts w:ascii="Arial" w:hAnsi="Arial" w:eastAsia="Arial"/>
          <w:i/>
          <w:sz w:val="24"/>
        </w:rPr>
        <w:t>Prepared by: Bonds Financial Management &amp; Consulting</w:t>
      </w:r>
    </w:p>
    <w:p>
      <w:pPr>
        <w:jc w:val="center"/>
      </w:pPr>
      <w:r>
        <w:rPr>
          <w:rFonts w:ascii="Arial" w:hAnsi="Arial" w:eastAsia="Arial"/>
          <w:i/>
          <w:sz w:val="24"/>
        </w:rPr>
        <w:t>June 2026</w:t>
      </w:r>
    </w:p>
    <w:p/>
    <w:p>
      <w:pPr>
        <w:jc w:val="center"/>
      </w:pPr>
      <w:r>
        <w:rPr>
          <w:rFonts w:ascii="Arial" w:hAnsi="Arial" w:eastAsia="Arial"/>
          <w:b/>
          <w:sz w:val="28"/>
        </w:rPr>
        <w:t>Financial Advisor</w:t>
      </w:r>
    </w:p>
    <w:p>
      <w:pPr>
        <w:jc w:val="center"/>
      </w:pPr>
      <w:r>
        <w:rPr>
          <w:rFonts w:ascii="Arial" w:hAnsi="Arial" w:eastAsia="Arial"/>
          <w:b/>
          <w:color w:val="D4A853"/>
          <w:sz w:val="32"/>
        </w:rPr>
        <w:t>Dr. Talal bin Hassan Al-Zahrani</w:t>
      </w:r>
    </w:p>
    <w:p>
      <w:pPr>
        <w:jc w:val="center"/>
      </w:pPr>
      <w:r>
        <w:rPr>
          <w:rFonts w:ascii="Arial" w:hAnsi="Arial" w:eastAsia="Arial"/>
          <w:sz w:val="28"/>
        </w:rPr>
        <w:t>+966 56 756 6616</w:t>
      </w:r>
    </w:p>
    <w:p>
      <w:r>
        <w:br w:type="page"/>
      </w:r>
    </w:p>
    <w:p>
      <w:pPr>
        <w:pStyle w:val="Heading1"/>
        <w:jc w:val="left"/>
      </w:pPr>
      <w:r>
        <w:rPr>
          <w:rFonts w:ascii="Arial" w:hAnsi="Arial" w:eastAsia="Arial"/>
          <w:color w:val="003366"/>
        </w:rPr>
        <w:t>Table of Contents</w:t>
      </w:r>
    </w:p>
    <w:p>
      <w:pPr>
        <w:pStyle w:val="ListBullet"/>
        <w:jc w:val="left"/>
      </w:pPr>
      <w:r>
        <w:rPr>
          <w:rFonts w:ascii="Arial" w:hAnsi="Arial" w:eastAsia="Arial"/>
          <w:sz w:val="22"/>
        </w:rPr>
        <w:t>Introduction: Investment Climate and Purchasing Power</w:t>
      </w:r>
    </w:p>
    <w:p>
      <w:pPr>
        <w:pStyle w:val="ListBullet"/>
        <w:jc w:val="left"/>
      </w:pPr>
      <w:r>
        <w:rPr>
          <w:rFonts w:ascii="Arial" w:hAnsi="Arial" w:eastAsia="Arial"/>
          <w:sz w:val="22"/>
        </w:rPr>
        <w:t>1. Executive Summary</w:t>
      </w:r>
    </w:p>
    <w:p>
      <w:pPr>
        <w:pStyle w:val="ListBullet"/>
        <w:jc w:val="left"/>
      </w:pPr>
      <w:r>
        <w:rPr>
          <w:rFonts w:ascii="Arial" w:hAnsi="Arial" w:eastAsia="Arial"/>
          <w:sz w:val="22"/>
        </w:rPr>
        <w:t>2. Project Overview</w:t>
      </w:r>
    </w:p>
    <w:p>
      <w:pPr>
        <w:pStyle w:val="ListBullet"/>
        <w:jc w:val="left"/>
      </w:pPr>
      <w:r>
        <w:rPr>
          <w:rFonts w:ascii="Arial" w:hAnsi="Arial" w:eastAsia="Arial"/>
          <w:sz w:val="22"/>
        </w:rPr>
        <w:t>3. Market Analysis</w:t>
      </w:r>
    </w:p>
    <w:p>
      <w:pPr>
        <w:pStyle w:val="ListBullet"/>
        <w:jc w:val="left"/>
      </w:pPr>
      <w:r>
        <w:rPr>
          <w:rFonts w:ascii="Arial" w:hAnsi="Arial" w:eastAsia="Arial"/>
          <w:sz w:val="22"/>
        </w:rPr>
        <w:t>4. Commercial Model</w:t>
      </w:r>
    </w:p>
    <w:p>
      <w:pPr>
        <w:pStyle w:val="ListBullet"/>
        <w:jc w:val="left"/>
      </w:pPr>
      <w:r>
        <w:rPr>
          <w:rFonts w:ascii="Arial" w:hAnsi="Arial" w:eastAsia="Arial"/>
          <w:sz w:val="22"/>
        </w:rPr>
        <w:t>5. Integrated Business Model</w:t>
      </w:r>
    </w:p>
    <w:p>
      <w:pPr>
        <w:pStyle w:val="ListBullet"/>
        <w:jc w:val="left"/>
      </w:pPr>
      <w:r>
        <w:rPr>
          <w:rFonts w:ascii="Arial" w:hAnsi="Arial" w:eastAsia="Arial"/>
          <w:sz w:val="22"/>
        </w:rPr>
        <w:t>6. Organizational Structure and Team</w:t>
      </w:r>
    </w:p>
    <w:p>
      <w:pPr>
        <w:pStyle w:val="ListBullet"/>
        <w:jc w:val="left"/>
      </w:pPr>
      <w:r>
        <w:rPr>
          <w:rFonts w:ascii="Arial" w:hAnsi="Arial" w:eastAsia="Arial"/>
          <w:sz w:val="22"/>
        </w:rPr>
        <w:t>7. Operational Plan</w:t>
      </w:r>
    </w:p>
    <w:p>
      <w:pPr>
        <w:pStyle w:val="ListBullet"/>
        <w:jc w:val="left"/>
      </w:pPr>
      <w:r>
        <w:rPr>
          <w:rFonts w:ascii="Arial" w:hAnsi="Arial" w:eastAsia="Arial"/>
          <w:sz w:val="22"/>
        </w:rPr>
        <w:t>8. Financial Tables</w:t>
      </w:r>
    </w:p>
    <w:p>
      <w:pPr>
        <w:pStyle w:val="ListBullet"/>
        <w:jc w:val="left"/>
      </w:pPr>
      <w:r>
        <w:rPr>
          <w:rFonts w:ascii="Arial" w:hAnsi="Arial" w:eastAsia="Arial"/>
          <w:sz w:val="22"/>
        </w:rPr>
        <w:t>9. Detailed Financial Tables</w:t>
      </w:r>
    </w:p>
    <w:p>
      <w:pPr>
        <w:pStyle w:val="ListBullet"/>
        <w:jc w:val="left"/>
      </w:pPr>
      <w:r>
        <w:rPr>
          <w:rFonts w:ascii="Arial" w:hAnsi="Arial" w:eastAsia="Arial"/>
          <w:sz w:val="22"/>
        </w:rPr>
        <w:t>10. Break-even and Sensitivity Analysis</w:t>
      </w:r>
    </w:p>
    <w:p>
      <w:pPr>
        <w:pStyle w:val="ListBullet"/>
        <w:jc w:val="left"/>
      </w:pPr>
      <w:r>
        <w:rPr>
          <w:rFonts w:ascii="Arial" w:hAnsi="Arial" w:eastAsia="Arial"/>
          <w:sz w:val="22"/>
        </w:rPr>
        <w:t>11. Risk Analysis and Mitigation</w:t>
      </w:r>
    </w:p>
    <w:p>
      <w:pPr>
        <w:pStyle w:val="ListBullet"/>
        <w:jc w:val="left"/>
      </w:pPr>
      <w:r>
        <w:rPr>
          <w:rFonts w:ascii="Arial" w:hAnsi="Arial" w:eastAsia="Arial"/>
          <w:sz w:val="22"/>
        </w:rPr>
        <w:t>12. Three Scenarios</w:t>
      </w:r>
    </w:p>
    <w:p>
      <w:pPr>
        <w:pStyle w:val="ListBullet"/>
        <w:jc w:val="left"/>
      </w:pPr>
      <w:r>
        <w:rPr>
          <w:rFonts w:ascii="Arial" w:hAnsi="Arial" w:eastAsia="Arial"/>
          <w:sz w:val="22"/>
        </w:rPr>
        <w:t>13. Marketing and Sales Plan</w:t>
      </w:r>
    </w:p>
    <w:p>
      <w:pPr>
        <w:pStyle w:val="ListBullet"/>
        <w:jc w:val="left"/>
      </w:pPr>
      <w:r>
        <w:rPr>
          <w:rFonts w:ascii="Arial" w:hAnsi="Arial" w:eastAsia="Arial"/>
          <w:sz w:val="22"/>
        </w:rPr>
        <w:t>14. Operations and Quality Plan</w:t>
      </w:r>
    </w:p>
    <w:p>
      <w:pPr>
        <w:pStyle w:val="ListBullet"/>
        <w:jc w:val="left"/>
      </w:pPr>
      <w:r>
        <w:rPr>
          <w:rFonts w:ascii="Arial" w:hAnsi="Arial" w:eastAsia="Arial"/>
          <w:sz w:val="22"/>
        </w:rPr>
        <w:t>15. Conclusion and Recommendations</w:t>
      </w:r>
    </w:p>
    <w:p>
      <w:pPr>
        <w:pStyle w:val="ListBullet"/>
        <w:jc w:val="left"/>
      </w:pPr>
      <w:r>
        <w:rPr>
          <w:rFonts w:ascii="Arial" w:hAnsi="Arial" w:eastAsia="Arial"/>
          <w:sz w:val="22"/>
        </w:rPr>
        <w:t>16. Market Enrichments</w:t>
      </w:r>
    </w:p>
    <w:p>
      <w:pPr>
        <w:pStyle w:val="ListBullet"/>
        <w:jc w:val="left"/>
      </w:pPr>
      <w:r>
        <w:rPr>
          <w:rFonts w:ascii="Arial" w:hAnsi="Arial" w:eastAsia="Arial"/>
          <w:sz w:val="22"/>
        </w:rPr>
        <w:t>17. References and Sources</w:t>
      </w:r>
    </w:p>
    <w:p>
      <w:pPr>
        <w:pStyle w:val="ListBullet"/>
        <w:jc w:val="left"/>
      </w:pPr>
      <w:r>
        <w:rPr>
          <w:rFonts w:ascii="Arial" w:hAnsi="Arial" w:eastAsia="Arial"/>
          <w:sz w:val="22"/>
        </w:rPr>
        <w:t>Appendix A: Independent Strategic Analysis</w:t>
      </w:r>
    </w:p>
    <w:p>
      <w:pPr>
        <w:pStyle w:val="ListBullet"/>
        <w:jc w:val="left"/>
      </w:pPr>
      <w:r>
        <w:rPr>
          <w:rFonts w:ascii="Arial" w:hAnsi="Arial" w:eastAsia="Arial"/>
          <w:sz w:val="22"/>
        </w:rPr>
        <w:t>Appendix B: Investor Evaluation</w:t>
      </w:r>
    </w:p>
    <w:p>
      <w:r>
        <w:br w:type="page"/>
      </w:r>
    </w:p>
    <w:p>
      <w:pPr>
        <w:pStyle w:val="Heading1"/>
        <w:jc w:val="left"/>
      </w:pPr>
      <w:r>
        <w:rPr>
          <w:rFonts w:ascii="Arial" w:hAnsi="Arial" w:eastAsia="Arial"/>
          <w:color w:val="003366"/>
        </w:rPr>
        <w:t>Introduction: Investment Climate and Purchasing Power</w:t>
      </w:r>
    </w:p>
    <w:p>
      <w:pPr>
        <w:jc w:val="left"/>
      </w:pPr>
      <w:r>
        <w:rPr>
          <w:rFonts w:ascii="Arial" w:hAnsi="Arial" w:eastAsia="Arial"/>
          <w:b w:val="0"/>
          <w:i w:val="0"/>
          <w:sz w:val="24"/>
        </w:rPr>
        <w:t>Under the umbrella of Vision 2030, the real estate investment and development sector in the Kingdom of Saudi Arabia is witnessing a radical transformation. The sector is becoming one of the most vital and mature sectors in the region, driven by real demand dynamics rather than speculative randomness.</w:t>
      </w:r>
    </w:p>
    <w:p>
      <w:pPr>
        <w:jc w:val="left"/>
      </w:pPr>
      <w:r>
        <w:rPr>
          <w:rFonts w:ascii="Arial" w:hAnsi="Arial" w:eastAsia="Arial"/>
          <w:b w:val="0"/>
          <w:i w:val="0"/>
          <w:sz w:val="24"/>
        </w:rPr>
        <w:t>This study was prepared with extreme care based on official data from the Saudi Central Bank (SAMA), the Real Estate General Authority (REGA), the Ministry of Justice, and analyses from Knight Frank and KAPSARC. The goal is to present a realistic market vision that enables investors and building owners to make informed decisions.</w:t>
      </w:r>
    </w:p>
    <w:p>
      <w:pPr>
        <w:pStyle w:val="Heading2"/>
        <w:jc w:val="left"/>
      </w:pPr>
      <w:r>
        <w:rPr>
          <w:rFonts w:ascii="Arial" w:hAnsi="Arial" w:eastAsia="Arial"/>
          <w:color w:val="D4A853"/>
        </w:rPr>
        <w:t>Key Market Indicators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Indicator</w:t>
            </w:r>
          </w:p>
        </w:tc>
        <w:tc>
          <w:tcPr>
            <w:tcW w:type="dxa" w:w="4320"/>
            <w:shd w:fill="0A0F1A"/>
          </w:tcPr>
          <w:p>
            <w:pPr>
              <w:jc w:val="left"/>
            </w:pPr>
            <w:r>
              <w:rPr>
                <w:rFonts w:ascii="Arial" w:hAnsi="Arial" w:eastAsia="Arial"/>
                <w:b/>
                <w:color w:val="FFFFFF"/>
              </w:rPr>
              <w:t>Value</w:t>
            </w:r>
          </w:p>
        </w:tc>
      </w:tr>
      <w:tr>
        <w:tc>
          <w:tcPr>
            <w:tcW w:type="dxa" w:w="4320"/>
          </w:tcPr>
          <w:p>
            <w:pPr>
              <w:jc w:val="left"/>
            </w:pPr>
            <w:r>
              <w:rPr>
                <w:rFonts w:ascii="Arial" w:hAnsi="Arial" w:eastAsia="Arial"/>
              </w:rPr>
              <w:t>Rental Yield in Riyadh</w:t>
            </w:r>
          </w:p>
        </w:tc>
        <w:tc>
          <w:tcPr>
            <w:tcW w:type="dxa" w:w="4320"/>
          </w:tcPr>
          <w:p>
            <w:pPr>
              <w:jc w:val="left"/>
            </w:pPr>
            <w:r>
              <w:rPr>
                <w:rFonts w:ascii="Arial" w:hAnsi="Arial" w:eastAsia="Arial"/>
              </w:rPr>
              <w:t>8.89%</w:t>
            </w:r>
          </w:p>
        </w:tc>
      </w:tr>
      <w:tr>
        <w:tc>
          <w:tcPr>
            <w:tcW w:type="dxa" w:w="4320"/>
          </w:tcPr>
          <w:p>
            <w:pPr>
              <w:jc w:val="left"/>
            </w:pPr>
            <w:r>
              <w:rPr>
                <w:rFonts w:ascii="Arial" w:hAnsi="Arial" w:eastAsia="Arial"/>
              </w:rPr>
              <w:t>Rental Yield in Jeddah</w:t>
            </w:r>
          </w:p>
        </w:tc>
        <w:tc>
          <w:tcPr>
            <w:tcW w:type="dxa" w:w="4320"/>
          </w:tcPr>
          <w:p>
            <w:pPr>
              <w:jc w:val="left"/>
            </w:pPr>
            <w:r>
              <w:rPr>
                <w:rFonts w:ascii="Arial" w:hAnsi="Arial" w:eastAsia="Arial"/>
              </w:rPr>
              <w:t>7.89%</w:t>
            </w:r>
          </w:p>
        </w:tc>
      </w:tr>
      <w:tr>
        <w:tc>
          <w:tcPr>
            <w:tcW w:type="dxa" w:w="4320"/>
          </w:tcPr>
          <w:p>
            <w:pPr>
              <w:jc w:val="left"/>
            </w:pPr>
            <w:r>
              <w:rPr>
                <w:rFonts w:ascii="Arial" w:hAnsi="Arial" w:eastAsia="Arial"/>
              </w:rPr>
              <w:t>Real Estate Transaction Growth (2025)</w:t>
            </w:r>
          </w:p>
        </w:tc>
        <w:tc>
          <w:tcPr>
            <w:tcW w:type="dxa" w:w="4320"/>
          </w:tcPr>
          <w:p>
            <w:pPr>
              <w:jc w:val="left"/>
            </w:pPr>
            <w:r>
              <w:rPr>
                <w:rFonts w:ascii="Arial" w:hAnsi="Arial" w:eastAsia="Arial"/>
              </w:rPr>
              <w:t>14.2%+</w:t>
            </w:r>
          </w:p>
        </w:tc>
      </w:tr>
      <w:tr>
        <w:tc>
          <w:tcPr>
            <w:tcW w:type="dxa" w:w="4320"/>
          </w:tcPr>
          <w:p>
            <w:pPr>
              <w:jc w:val="left"/>
            </w:pPr>
            <w:r>
              <w:rPr>
                <w:rFonts w:ascii="Arial" w:hAnsi="Arial" w:eastAsia="Arial"/>
              </w:rPr>
              <w:t>Real Estate Financing Volume</w:t>
            </w:r>
          </w:p>
        </w:tc>
        <w:tc>
          <w:tcPr>
            <w:tcW w:type="dxa" w:w="4320"/>
          </w:tcPr>
          <w:p>
            <w:pPr>
              <w:jc w:val="left"/>
            </w:pPr>
            <w:r>
              <w:rPr>
                <w:rFonts w:ascii="Arial" w:hAnsi="Arial" w:eastAsia="Arial"/>
              </w:rPr>
              <w:t>SAR 730 billion</w:t>
            </w:r>
          </w:p>
        </w:tc>
      </w:tr>
      <w:tr>
        <w:tc>
          <w:tcPr>
            <w:tcW w:type="dxa" w:w="4320"/>
          </w:tcPr>
          <w:p>
            <w:pPr>
              <w:jc w:val="left"/>
            </w:pPr>
            <w:r>
              <w:rPr>
                <w:rFonts w:ascii="Arial" w:hAnsi="Arial" w:eastAsia="Arial"/>
              </w:rPr>
              <w:t>Capital Return at Exit</w:t>
            </w:r>
          </w:p>
        </w:tc>
        <w:tc>
          <w:tcPr>
            <w:tcW w:type="dxa" w:w="4320"/>
          </w:tcPr>
          <w:p>
            <w:pPr>
              <w:jc w:val="left"/>
            </w:pPr>
            <w:r>
              <w:rPr>
                <w:rFonts w:ascii="Arial" w:hAnsi="Arial" w:eastAsia="Arial"/>
              </w:rPr>
              <w:t>2.5x - 4x</w:t>
            </w:r>
          </w:p>
        </w:tc>
      </w:tr>
    </w:tbl>
    <w:p>
      <w:pPr>
        <w:jc w:val="left"/>
      </w:pPr>
      <w:r>
        <w:rPr>
          <w:rFonts w:ascii="Arial" w:hAnsi="Arial" w:eastAsia="Arial"/>
          <w:b w:val="0"/>
          <w:i w:val="0"/>
          <w:sz w:val="24"/>
        </w:rPr>
        <w:t>While rental yield represents annual operating income, the primary return for investors comes from capital appreciation upon strategic sale after revitalizing the assets. Over a 10-year horizon, the expected IRR is approximately 18.5%, with a capital return multiple of 2.5x - 4x at exit in years 5-7.</w:t>
      </w:r>
    </w:p>
    <w:p>
      <w:pPr>
        <w:pStyle w:val="Heading2"/>
        <w:jc w:val="left"/>
      </w:pPr>
      <w:r>
        <w:rPr>
          <w:rFonts w:ascii="Arial" w:hAnsi="Arial" w:eastAsia="Arial"/>
          <w:color w:val="D4A853"/>
        </w:rPr>
        <w:t>Growth Drivers</w:t>
      </w:r>
    </w:p>
    <w:p>
      <w:pPr>
        <w:pStyle w:val="ListBullet"/>
        <w:jc w:val="left"/>
      </w:pPr>
      <w:r>
        <w:rPr>
          <w:rFonts w:ascii="Arial" w:hAnsi="Arial" w:eastAsia="Arial"/>
          <w:sz w:val="22"/>
        </w:rPr>
        <w:t>Mega projects such as NEOM, Red Sea Project, Diriyah, and Roshn.</w:t>
      </w:r>
    </w:p>
    <w:p>
      <w:pPr>
        <w:pStyle w:val="ListBullet"/>
        <w:jc w:val="left"/>
      </w:pPr>
      <w:r>
        <w:rPr>
          <w:rFonts w:ascii="Arial" w:hAnsi="Arial" w:eastAsia="Arial"/>
          <w:sz w:val="22"/>
        </w:rPr>
        <w:t>Sakani financing programs for medium-sized units (70-120 m²).</w:t>
      </w:r>
    </w:p>
    <w:p>
      <w:pPr>
        <w:pStyle w:val="ListBullet"/>
        <w:jc w:val="left"/>
      </w:pPr>
      <w:r>
        <w:rPr>
          <w:rFonts w:ascii="Arial" w:hAnsi="Arial" w:eastAsia="Arial"/>
          <w:sz w:val="22"/>
        </w:rPr>
        <w:t>Salary growth and migration toward major cities.</w:t>
      </w:r>
    </w:p>
    <w:p>
      <w:pPr>
        <w:pStyle w:val="ListBullet"/>
        <w:jc w:val="left"/>
      </w:pPr>
      <w:r>
        <w:rPr>
          <w:rFonts w:ascii="Arial" w:hAnsi="Arial" w:eastAsia="Arial"/>
          <w:sz w:val="22"/>
        </w:rPr>
        <w:t>Stable and attractive rental yields.</w:t>
      </w:r>
    </w:p>
    <w:p>
      <w:r>
        <w:br w:type="page"/>
      </w:r>
    </w:p>
    <w:p>
      <w:pPr>
        <w:pStyle w:val="Heading1"/>
        <w:jc w:val="left"/>
      </w:pPr>
      <w:r>
        <w:rPr>
          <w:rFonts w:ascii="Arial" w:hAnsi="Arial" w:eastAsia="Arial"/>
          <w:color w:val="003366"/>
        </w:rPr>
        <w:t>1. Executive Summary</w:t>
      </w:r>
    </w:p>
    <w:p>
      <w:pPr>
        <w:pStyle w:val="Heading2"/>
        <w:jc w:val="left"/>
      </w:pPr>
      <w:r>
        <w:rPr>
          <w:rFonts w:ascii="Arial" w:hAnsi="Arial" w:eastAsia="Arial"/>
          <w:color w:val="D4A853"/>
        </w:rPr>
        <w:t>1.1 Core Concept</w:t>
      </w:r>
    </w:p>
    <w:p>
      <w:pPr>
        <w:jc w:val="left"/>
      </w:pPr>
      <w:r>
        <w:rPr>
          <w:rFonts w:ascii="Arial" w:hAnsi="Arial" w:eastAsia="Arial"/>
          <w:b w:val="0"/>
          <w:i w:val="0"/>
          <w:sz w:val="24"/>
        </w:rPr>
        <w:t>The Real Estate Asset Revitalization Company was founded on a vision to revitalize incomplete buildings without purchasing land. The model operates through partnership (Muhassah) contracts with building owners, where the company covers finishing, marketing, and selling costs, then shares profits with the original owner.</w:t>
      </w:r>
    </w:p>
    <w:p>
      <w:pPr>
        <w:pStyle w:val="Heading2"/>
        <w:jc w:val="left"/>
      </w:pPr>
      <w:r>
        <w:rPr>
          <w:rFonts w:ascii="Arial" w:hAnsi="Arial" w:eastAsia="Arial"/>
          <w:color w:val="D4A853"/>
        </w:rPr>
        <w:t>Key Strengths</w:t>
      </w:r>
    </w:p>
    <w:p>
      <w:pPr>
        <w:pStyle w:val="ListBullet"/>
        <w:jc w:val="left"/>
      </w:pPr>
      <w:r>
        <w:rPr>
          <w:rFonts w:ascii="Arial" w:hAnsi="Arial" w:eastAsia="Arial"/>
          <w:sz w:val="22"/>
        </w:rPr>
        <w:t>No land purchase required - reducing market entry risks and capital needs.</w:t>
      </w:r>
    </w:p>
    <w:p>
      <w:pPr>
        <w:pStyle w:val="ListBullet"/>
        <w:jc w:val="left"/>
      </w:pPr>
      <w:r>
        <w:rPr>
          <w:rFonts w:ascii="Arial" w:hAnsi="Arial" w:eastAsia="Arial"/>
          <w:sz w:val="22"/>
        </w:rPr>
        <w:t>The Saudi market contains thousands of incomplete buildings.</w:t>
      </w:r>
    </w:p>
    <w:p>
      <w:pPr>
        <w:pStyle w:val="ListBullet"/>
        <w:jc w:val="left"/>
      </w:pPr>
      <w:r>
        <w:rPr>
          <w:rFonts w:ascii="Arial" w:hAnsi="Arial" w:eastAsia="Arial"/>
          <w:sz w:val="22"/>
        </w:rPr>
        <w:t>Healthy profit margins of 8-12% compared to traditional real estate development.</w:t>
      </w:r>
    </w:p>
    <w:p>
      <w:pPr>
        <w:pStyle w:val="ListBullet"/>
        <w:jc w:val="left"/>
      </w:pPr>
      <w:r>
        <w:rPr>
          <w:rFonts w:ascii="Arial" w:hAnsi="Arial" w:eastAsia="Arial"/>
          <w:sz w:val="22"/>
        </w:rPr>
        <w:t>Year 1 is foundational; real revenues begin from Year 2.</w:t>
      </w:r>
    </w:p>
    <w:p>
      <w:pPr>
        <w:pStyle w:val="ListBullet"/>
        <w:jc w:val="left"/>
      </w:pPr>
      <w:r>
        <w:rPr>
          <w:rFonts w:ascii="Arial" w:hAnsi="Arial" w:eastAsia="Arial"/>
          <w:sz w:val="22"/>
        </w:rPr>
        <w:t>Initial required capital is only SAR 25 million, with a flexible ceiling of SAR 226 million.</w:t>
      </w:r>
    </w:p>
    <w:p>
      <w:pPr>
        <w:pStyle w:val="ListBullet"/>
        <w:jc w:val="left"/>
      </w:pPr>
      <w:r>
        <w:rPr>
          <w:rFonts w:ascii="Arial" w:hAnsi="Arial" w:eastAsia="Arial"/>
          <w:sz w:val="22"/>
        </w:rPr>
        <w:t>True value lies in accumulated asset portfolio, brand, and recurring revenue.</w:t>
      </w:r>
    </w:p>
    <w:p>
      <w:pPr>
        <w:pStyle w:val="ListBullet"/>
        <w:jc w:val="left"/>
      </w:pPr>
      <w:r>
        <w:rPr>
          <w:rFonts w:ascii="Arial" w:hAnsi="Arial" w:eastAsia="Arial"/>
          <w:sz w:val="22"/>
        </w:rPr>
        <w:t>Primary return comes from capital appreciation at strategic exit.</w:t>
      </w:r>
    </w:p>
    <w:p>
      <w:pPr>
        <w:pStyle w:val="Heading2"/>
        <w:jc w:val="left"/>
      </w:pPr>
      <w:r>
        <w:rPr>
          <w:rFonts w:ascii="Arial" w:hAnsi="Arial" w:eastAsia="Arial"/>
          <w:color w:val="D4A853"/>
        </w:rPr>
        <w:t>Financial Highlights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Indicator</w:t>
            </w:r>
          </w:p>
        </w:tc>
        <w:tc>
          <w:tcPr>
            <w:tcW w:type="dxa" w:w="4320"/>
            <w:shd w:fill="0A0F1A"/>
          </w:tcPr>
          <w:p>
            <w:pPr>
              <w:jc w:val="left"/>
            </w:pPr>
            <w:r>
              <w:rPr>
                <w:rFonts w:ascii="Arial" w:hAnsi="Arial" w:eastAsia="Arial"/>
                <w:b/>
                <w:color w:val="FFFFFF"/>
              </w:rPr>
              <w:t>Value</w:t>
            </w:r>
          </w:p>
        </w:tc>
      </w:tr>
      <w:tr>
        <w:tc>
          <w:tcPr>
            <w:tcW w:type="dxa" w:w="4320"/>
          </w:tcPr>
          <w:p>
            <w:pPr>
              <w:jc w:val="left"/>
            </w:pPr>
            <w:r>
              <w:rPr>
                <w:rFonts w:ascii="Arial" w:hAnsi="Arial" w:eastAsia="Arial"/>
              </w:rPr>
              <w:t>Authorized Capital</w:t>
            </w:r>
          </w:p>
        </w:tc>
        <w:tc>
          <w:tcPr>
            <w:tcW w:type="dxa" w:w="4320"/>
          </w:tcPr>
          <w:p>
            <w:pPr>
              <w:jc w:val="left"/>
            </w:pPr>
            <w:r>
              <w:rPr>
                <w:rFonts w:ascii="Arial" w:hAnsi="Arial" w:eastAsia="Arial"/>
              </w:rPr>
              <w:t>SAR 200,000,000</w:t>
            </w:r>
          </w:p>
        </w:tc>
      </w:tr>
      <w:tr>
        <w:tc>
          <w:tcPr>
            <w:tcW w:type="dxa" w:w="4320"/>
          </w:tcPr>
          <w:p>
            <w:pPr>
              <w:jc w:val="left"/>
            </w:pPr>
            <w:r>
              <w:rPr>
                <w:rFonts w:ascii="Arial" w:hAnsi="Arial" w:eastAsia="Arial"/>
              </w:rPr>
              <w:t>Shares</w:t>
            </w:r>
          </w:p>
        </w:tc>
        <w:tc>
          <w:tcPr>
            <w:tcW w:type="dxa" w:w="4320"/>
          </w:tcPr>
          <w:p>
            <w:pPr>
              <w:jc w:val="left"/>
            </w:pPr>
            <w:r>
              <w:rPr>
                <w:rFonts w:ascii="Arial" w:hAnsi="Arial" w:eastAsia="Arial"/>
              </w:rPr>
              <w:t>40,000</w:t>
            </w:r>
          </w:p>
        </w:tc>
      </w:tr>
      <w:tr>
        <w:tc>
          <w:tcPr>
            <w:tcW w:type="dxa" w:w="4320"/>
          </w:tcPr>
          <w:p>
            <w:pPr>
              <w:jc w:val="left"/>
            </w:pPr>
            <w:r>
              <w:rPr>
                <w:rFonts w:ascii="Arial" w:hAnsi="Arial" w:eastAsia="Arial"/>
              </w:rPr>
              <w:t>Nominal Value per Share</w:t>
            </w:r>
          </w:p>
        </w:tc>
        <w:tc>
          <w:tcPr>
            <w:tcW w:type="dxa" w:w="4320"/>
          </w:tcPr>
          <w:p>
            <w:pPr>
              <w:jc w:val="left"/>
            </w:pPr>
            <w:r>
              <w:rPr>
                <w:rFonts w:ascii="Arial" w:hAnsi="Arial" w:eastAsia="Arial"/>
              </w:rPr>
              <w:t>SAR 5,000</w:t>
            </w:r>
          </w:p>
        </w:tc>
      </w:tr>
      <w:tr>
        <w:tc>
          <w:tcPr>
            <w:tcW w:type="dxa" w:w="4320"/>
          </w:tcPr>
          <w:p>
            <w:pPr>
              <w:jc w:val="left"/>
            </w:pPr>
            <w:r>
              <w:rPr>
                <w:rFonts w:ascii="Arial" w:hAnsi="Arial" w:eastAsia="Arial"/>
              </w:rPr>
              <w:t>Actual Value per Share</w:t>
            </w:r>
          </w:p>
        </w:tc>
        <w:tc>
          <w:tcPr>
            <w:tcW w:type="dxa" w:w="4320"/>
          </w:tcPr>
          <w:p>
            <w:pPr>
              <w:jc w:val="left"/>
            </w:pPr>
            <w:r>
              <w:rPr>
                <w:rFonts w:ascii="Arial" w:hAnsi="Arial" w:eastAsia="Arial"/>
              </w:rPr>
              <w:t>SAR 5,650</w:t>
            </w:r>
          </w:p>
        </w:tc>
      </w:tr>
      <w:tr>
        <w:tc>
          <w:tcPr>
            <w:tcW w:type="dxa" w:w="4320"/>
          </w:tcPr>
          <w:p>
            <w:pPr>
              <w:jc w:val="left"/>
            </w:pPr>
            <w:r>
              <w:rPr>
                <w:rFonts w:ascii="Arial" w:hAnsi="Arial" w:eastAsia="Arial"/>
              </w:rPr>
              <w:t>Total Target Investment</w:t>
            </w:r>
          </w:p>
        </w:tc>
        <w:tc>
          <w:tcPr>
            <w:tcW w:type="dxa" w:w="4320"/>
          </w:tcPr>
          <w:p>
            <w:pPr>
              <w:jc w:val="left"/>
            </w:pPr>
            <w:r>
              <w:rPr>
                <w:rFonts w:ascii="Arial" w:hAnsi="Arial" w:eastAsia="Arial"/>
              </w:rPr>
              <w:t>SAR 226,000,000</w:t>
            </w:r>
          </w:p>
        </w:tc>
      </w:tr>
      <w:tr>
        <w:tc>
          <w:tcPr>
            <w:tcW w:type="dxa" w:w="4320"/>
          </w:tcPr>
          <w:p>
            <w:pPr>
              <w:jc w:val="left"/>
            </w:pPr>
            <w:r>
              <w:rPr>
                <w:rFonts w:ascii="Arial" w:hAnsi="Arial" w:eastAsia="Arial"/>
              </w:rPr>
              <w:t>Expected IRR (10 years)</w:t>
            </w:r>
          </w:p>
        </w:tc>
        <w:tc>
          <w:tcPr>
            <w:tcW w:type="dxa" w:w="4320"/>
          </w:tcPr>
          <w:p>
            <w:pPr>
              <w:jc w:val="left"/>
            </w:pPr>
            <w:r>
              <w:rPr>
                <w:rFonts w:ascii="Arial" w:hAnsi="Arial" w:eastAsia="Arial"/>
              </w:rPr>
              <w:t>18.5% - 20%</w:t>
            </w:r>
          </w:p>
        </w:tc>
      </w:tr>
      <w:tr>
        <w:tc>
          <w:tcPr>
            <w:tcW w:type="dxa" w:w="4320"/>
          </w:tcPr>
          <w:p>
            <w:pPr>
              <w:jc w:val="left"/>
            </w:pPr>
            <w:r>
              <w:rPr>
                <w:rFonts w:ascii="Arial" w:hAnsi="Arial" w:eastAsia="Arial"/>
              </w:rPr>
              <w:t>Capital Return at Exit</w:t>
            </w:r>
          </w:p>
        </w:tc>
        <w:tc>
          <w:tcPr>
            <w:tcW w:type="dxa" w:w="4320"/>
          </w:tcPr>
          <w:p>
            <w:pPr>
              <w:jc w:val="left"/>
            </w:pPr>
            <w:r>
              <w:rPr>
                <w:rFonts w:ascii="Arial" w:hAnsi="Arial" w:eastAsia="Arial"/>
              </w:rPr>
              <w:t>2.5x - 4x</w:t>
            </w:r>
          </w:p>
        </w:tc>
      </w:tr>
      <w:tr>
        <w:tc>
          <w:tcPr>
            <w:tcW w:type="dxa" w:w="4320"/>
          </w:tcPr>
          <w:p>
            <w:pPr>
              <w:jc w:val="left"/>
            </w:pPr>
            <w:r>
              <w:rPr>
                <w:rFonts w:ascii="Arial" w:hAnsi="Arial" w:eastAsia="Arial"/>
              </w:rPr>
              <w:t>Payback Period</w:t>
            </w:r>
          </w:p>
        </w:tc>
        <w:tc>
          <w:tcPr>
            <w:tcW w:type="dxa" w:w="4320"/>
          </w:tcPr>
          <w:p>
            <w:pPr>
              <w:jc w:val="left"/>
            </w:pPr>
            <w:r>
              <w:rPr>
                <w:rFonts w:ascii="Arial" w:hAnsi="Arial" w:eastAsia="Arial"/>
              </w:rPr>
              <w:t>6 years</w:t>
            </w:r>
          </w:p>
        </w:tc>
      </w:tr>
    </w:tbl>
    <w:p>
      <w:r>
        <w:br w:type="page"/>
      </w:r>
    </w:p>
    <w:p>
      <w:pPr>
        <w:pStyle w:val="Heading1"/>
        <w:jc w:val="left"/>
      </w:pPr>
      <w:r>
        <w:rPr>
          <w:rFonts w:ascii="Arial" w:hAnsi="Arial" w:eastAsia="Arial"/>
          <w:color w:val="003366"/>
        </w:rPr>
        <w:t>2. Project Overview</w:t>
      </w:r>
    </w:p>
    <w:p>
      <w:pPr>
        <w:pStyle w:val="Heading2"/>
        <w:jc w:val="left"/>
      </w:pPr>
      <w:r>
        <w:rPr>
          <w:rFonts w:ascii="Arial" w:hAnsi="Arial" w:eastAsia="Arial"/>
          <w:color w:val="D4A853"/>
        </w:rPr>
        <w:t>2.1 Legal Structure</w:t>
      </w:r>
    </w:p>
    <w:p>
      <w:pPr>
        <w:jc w:val="left"/>
      </w:pPr>
      <w:r>
        <w:rPr>
          <w:rFonts w:ascii="Arial" w:hAnsi="Arial" w:eastAsia="Arial"/>
          <w:b w:val="0"/>
          <w:i w:val="0"/>
          <w:sz w:val="24"/>
        </w:rPr>
        <w:t>A closed joint stock company licensed by the Ministry of Commerce and the Real Estate General Authority (REGA), in accordance with the Saudi Companies Law. This structure enables capital raising from founding shareholders while maintaining management flexibility and decision-making speed.</w:t>
      </w:r>
    </w:p>
    <w:p>
      <w:pPr>
        <w:pStyle w:val="Heading2"/>
        <w:jc w:val="left"/>
      </w:pPr>
      <w:r>
        <w:rPr>
          <w:rFonts w:ascii="Arial" w:hAnsi="Arial" w:eastAsia="Arial"/>
          <w:color w:val="D4A853"/>
        </w:rPr>
        <w:t>2.2 Capital Structure</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Item</w:t>
            </w:r>
          </w:p>
        </w:tc>
        <w:tc>
          <w:tcPr>
            <w:tcW w:type="dxa" w:w="4320"/>
            <w:shd w:fill="0A0F1A"/>
          </w:tcPr>
          <w:p>
            <w:pPr>
              <w:jc w:val="left"/>
            </w:pPr>
            <w:r>
              <w:rPr>
                <w:rFonts w:ascii="Arial" w:hAnsi="Arial" w:eastAsia="Arial"/>
                <w:b/>
                <w:color w:val="FFFFFF"/>
              </w:rPr>
              <w:t>Amount (SAR)</w:t>
            </w:r>
          </w:p>
        </w:tc>
      </w:tr>
      <w:tr>
        <w:tc>
          <w:tcPr>
            <w:tcW w:type="dxa" w:w="4320"/>
          </w:tcPr>
          <w:p>
            <w:pPr>
              <w:jc w:val="left"/>
            </w:pPr>
            <w:r>
              <w:rPr>
                <w:rFonts w:ascii="Arial" w:hAnsi="Arial" w:eastAsia="Arial"/>
              </w:rPr>
              <w:t>Item</w:t>
            </w:r>
          </w:p>
        </w:tc>
        <w:tc>
          <w:tcPr>
            <w:tcW w:type="dxa" w:w="4320"/>
          </w:tcPr>
          <w:p>
            <w:pPr>
              <w:jc w:val="left"/>
            </w:pPr>
            <w:r>
              <w:rPr>
                <w:rFonts w:ascii="Arial" w:hAnsi="Arial" w:eastAsia="Arial"/>
              </w:rPr>
              <w:t>Amount (SAR)</w:t>
            </w:r>
          </w:p>
        </w:tc>
      </w:tr>
      <w:tr>
        <w:tc>
          <w:tcPr>
            <w:tcW w:type="dxa" w:w="4320"/>
          </w:tcPr>
          <w:p>
            <w:pPr>
              <w:jc w:val="left"/>
            </w:pPr>
            <w:r>
              <w:rPr>
                <w:rFonts w:ascii="Arial" w:hAnsi="Arial" w:eastAsia="Arial"/>
              </w:rPr>
              <w:t>Authorized Capital</w:t>
            </w:r>
          </w:p>
        </w:tc>
        <w:tc>
          <w:tcPr>
            <w:tcW w:type="dxa" w:w="4320"/>
          </w:tcPr>
          <w:p>
            <w:pPr>
              <w:jc w:val="left"/>
            </w:pPr>
            <w:r>
              <w:rPr>
                <w:rFonts w:ascii="Arial" w:hAnsi="Arial" w:eastAsia="Arial"/>
              </w:rPr>
              <w:t>200,000,000</w:t>
            </w:r>
          </w:p>
        </w:tc>
      </w:tr>
      <w:tr>
        <w:tc>
          <w:tcPr>
            <w:tcW w:type="dxa" w:w="4320"/>
          </w:tcPr>
          <w:p>
            <w:pPr>
              <w:jc w:val="left"/>
            </w:pPr>
            <w:r>
              <w:rPr>
                <w:rFonts w:ascii="Arial" w:hAnsi="Arial" w:eastAsia="Arial"/>
              </w:rPr>
              <w:t>Number of Shares</w:t>
            </w:r>
          </w:p>
        </w:tc>
        <w:tc>
          <w:tcPr>
            <w:tcW w:type="dxa" w:w="4320"/>
          </w:tcPr>
          <w:p>
            <w:pPr>
              <w:jc w:val="left"/>
            </w:pPr>
            <w:r>
              <w:rPr>
                <w:rFonts w:ascii="Arial" w:hAnsi="Arial" w:eastAsia="Arial"/>
              </w:rPr>
              <w:t>40,000</w:t>
            </w:r>
          </w:p>
        </w:tc>
      </w:tr>
      <w:tr>
        <w:tc>
          <w:tcPr>
            <w:tcW w:type="dxa" w:w="4320"/>
          </w:tcPr>
          <w:p>
            <w:pPr>
              <w:jc w:val="left"/>
            </w:pPr>
            <w:r>
              <w:rPr>
                <w:rFonts w:ascii="Arial" w:hAnsi="Arial" w:eastAsia="Arial"/>
              </w:rPr>
              <w:t>Nominal Value per Share</w:t>
            </w:r>
          </w:p>
        </w:tc>
        <w:tc>
          <w:tcPr>
            <w:tcW w:type="dxa" w:w="4320"/>
          </w:tcPr>
          <w:p>
            <w:pPr>
              <w:jc w:val="left"/>
            </w:pPr>
            <w:r>
              <w:rPr>
                <w:rFonts w:ascii="Arial" w:hAnsi="Arial" w:eastAsia="Arial"/>
              </w:rPr>
              <w:t>5,000</w:t>
            </w:r>
          </w:p>
        </w:tc>
      </w:tr>
      <w:tr>
        <w:tc>
          <w:tcPr>
            <w:tcW w:type="dxa" w:w="4320"/>
          </w:tcPr>
          <w:p>
            <w:pPr>
              <w:jc w:val="left"/>
            </w:pPr>
            <w:r>
              <w:rPr>
                <w:rFonts w:ascii="Arial" w:hAnsi="Arial" w:eastAsia="Arial"/>
              </w:rPr>
              <w:t>Actual Value per Share</w:t>
            </w:r>
          </w:p>
        </w:tc>
        <w:tc>
          <w:tcPr>
            <w:tcW w:type="dxa" w:w="4320"/>
          </w:tcPr>
          <w:p>
            <w:pPr>
              <w:jc w:val="left"/>
            </w:pPr>
            <w:r>
              <w:rPr>
                <w:rFonts w:ascii="Arial" w:hAnsi="Arial" w:eastAsia="Arial"/>
              </w:rPr>
              <w:t>5,650</w:t>
            </w:r>
          </w:p>
        </w:tc>
      </w:tr>
      <w:tr>
        <w:tc>
          <w:tcPr>
            <w:tcW w:type="dxa" w:w="4320"/>
          </w:tcPr>
          <w:p>
            <w:pPr>
              <w:jc w:val="left"/>
            </w:pPr>
            <w:r>
              <w:rPr>
                <w:rFonts w:ascii="Arial" w:hAnsi="Arial" w:eastAsia="Arial"/>
              </w:rPr>
              <w:t>Issue Premium and Establishment Costs</w:t>
            </w:r>
          </w:p>
        </w:tc>
        <w:tc>
          <w:tcPr>
            <w:tcW w:type="dxa" w:w="4320"/>
          </w:tcPr>
          <w:p>
            <w:pPr>
              <w:jc w:val="left"/>
            </w:pPr>
            <w:r>
              <w:rPr>
                <w:rFonts w:ascii="Arial" w:hAnsi="Arial" w:eastAsia="Arial"/>
              </w:rPr>
              <w:t>26,000,000</w:t>
            </w:r>
          </w:p>
        </w:tc>
      </w:tr>
      <w:tr>
        <w:tc>
          <w:tcPr>
            <w:tcW w:type="dxa" w:w="4320"/>
          </w:tcPr>
          <w:p>
            <w:pPr>
              <w:jc w:val="left"/>
            </w:pPr>
            <w:r>
              <w:rPr>
                <w:rFonts w:ascii="Arial" w:hAnsi="Arial" w:eastAsia="Arial"/>
              </w:rPr>
              <w:t>Total Target Investment</w:t>
            </w:r>
          </w:p>
        </w:tc>
        <w:tc>
          <w:tcPr>
            <w:tcW w:type="dxa" w:w="4320"/>
          </w:tcPr>
          <w:p>
            <w:pPr>
              <w:jc w:val="left"/>
            </w:pPr>
            <w:r>
              <w:rPr>
                <w:rFonts w:ascii="Arial" w:hAnsi="Arial" w:eastAsia="Arial"/>
              </w:rPr>
              <w:t>226,000,000</w:t>
            </w:r>
          </w:p>
        </w:tc>
      </w:tr>
    </w:tbl>
    <w:p>
      <w:pPr>
        <w:pStyle w:val="Heading2"/>
        <w:jc w:val="left"/>
      </w:pPr>
      <w:r>
        <w:rPr>
          <w:rFonts w:ascii="Arial" w:hAnsi="Arial" w:eastAsia="Arial"/>
          <w:color w:val="D4A853"/>
        </w:rPr>
        <w:t>2.3 Capital Utilization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Use of Funds</w:t>
            </w:r>
          </w:p>
        </w:tc>
        <w:tc>
          <w:tcPr>
            <w:tcW w:type="dxa" w:w="2880"/>
            <w:shd w:fill="0A0F1A"/>
          </w:tcPr>
          <w:p>
            <w:pPr>
              <w:jc w:val="left"/>
            </w:pPr>
            <w:r>
              <w:rPr>
                <w:rFonts w:ascii="Arial" w:hAnsi="Arial" w:eastAsia="Arial"/>
                <w:b/>
                <w:color w:val="FFFFFF"/>
              </w:rPr>
              <w:t>Amount</w:t>
            </w:r>
          </w:p>
        </w:tc>
        <w:tc>
          <w:tcPr>
            <w:tcW w:type="dxa" w:w="2880"/>
            <w:shd w:fill="0A0F1A"/>
          </w:tcPr>
          <w:p>
            <w:pPr>
              <w:jc w:val="left"/>
            </w:pPr>
            <w:r>
              <w:rPr>
                <w:rFonts w:ascii="Arial" w:hAnsi="Arial" w:eastAsia="Arial"/>
                <w:b/>
                <w:color w:val="FFFFFF"/>
              </w:rPr>
              <w:t>Share</w:t>
            </w:r>
          </w:p>
        </w:tc>
      </w:tr>
      <w:tr>
        <w:tc>
          <w:tcPr>
            <w:tcW w:type="dxa" w:w="2880"/>
          </w:tcPr>
          <w:p>
            <w:pPr>
              <w:jc w:val="left"/>
            </w:pPr>
            <w:r>
              <w:rPr>
                <w:rFonts w:ascii="Arial" w:hAnsi="Arial" w:eastAsia="Arial"/>
              </w:rPr>
              <w:t>Use of Funds</w:t>
            </w:r>
          </w:p>
        </w:tc>
        <w:tc>
          <w:tcPr>
            <w:tcW w:type="dxa" w:w="2880"/>
          </w:tcPr>
          <w:p>
            <w:pPr>
              <w:jc w:val="left"/>
            </w:pPr>
            <w:r>
              <w:rPr>
                <w:rFonts w:ascii="Arial" w:hAnsi="Arial" w:eastAsia="Arial"/>
              </w:rPr>
              <w:t>Amount (SAR million)</w:t>
            </w:r>
          </w:p>
        </w:tc>
        <w:tc>
          <w:tcPr>
            <w:tcW w:type="dxa" w:w="2880"/>
          </w:tcPr>
          <w:p>
            <w:pPr>
              <w:jc w:val="left"/>
            </w:pPr>
            <w:r>
              <w:rPr>
                <w:rFonts w:ascii="Arial" w:hAnsi="Arial" w:eastAsia="Arial"/>
              </w:rPr>
              <w:t>Percentage</w:t>
            </w:r>
          </w:p>
        </w:tc>
      </w:tr>
      <w:tr>
        <w:tc>
          <w:tcPr>
            <w:tcW w:type="dxa" w:w="2880"/>
          </w:tcPr>
          <w:p>
            <w:pPr>
              <w:jc w:val="left"/>
            </w:pPr>
            <w:r>
              <w:rPr>
                <w:rFonts w:ascii="Arial" w:hAnsi="Arial" w:eastAsia="Arial"/>
              </w:rPr>
              <w:t>Project Investments (Purchase + Finishing)</w:t>
            </w:r>
          </w:p>
        </w:tc>
        <w:tc>
          <w:tcPr>
            <w:tcW w:type="dxa" w:w="2880"/>
          </w:tcPr>
          <w:p>
            <w:pPr>
              <w:jc w:val="left"/>
            </w:pPr>
            <w:r>
              <w:rPr>
                <w:rFonts w:ascii="Arial" w:hAnsi="Arial" w:eastAsia="Arial"/>
              </w:rPr>
              <w:t>150</w:t>
            </w:r>
          </w:p>
        </w:tc>
        <w:tc>
          <w:tcPr>
            <w:tcW w:type="dxa" w:w="2880"/>
          </w:tcPr>
          <w:p>
            <w:pPr>
              <w:jc w:val="left"/>
            </w:pPr>
            <w:r>
              <w:rPr>
                <w:rFonts w:ascii="Arial" w:hAnsi="Arial" w:eastAsia="Arial"/>
              </w:rPr>
              <w:t>66%</w:t>
            </w:r>
          </w:p>
        </w:tc>
      </w:tr>
      <w:tr>
        <w:tc>
          <w:tcPr>
            <w:tcW w:type="dxa" w:w="2880"/>
          </w:tcPr>
          <w:p>
            <w:pPr>
              <w:jc w:val="left"/>
            </w:pPr>
            <w:r>
              <w:rPr>
                <w:rFonts w:ascii="Arial" w:hAnsi="Arial" w:eastAsia="Arial"/>
              </w:rPr>
              <w:t>Working Capital</w:t>
            </w:r>
          </w:p>
        </w:tc>
        <w:tc>
          <w:tcPr>
            <w:tcW w:type="dxa" w:w="2880"/>
          </w:tcPr>
          <w:p>
            <w:pPr>
              <w:jc w:val="left"/>
            </w:pPr>
            <w:r>
              <w:rPr>
                <w:rFonts w:ascii="Arial" w:hAnsi="Arial" w:eastAsia="Arial"/>
              </w:rPr>
              <w:t>40</w:t>
            </w:r>
          </w:p>
        </w:tc>
        <w:tc>
          <w:tcPr>
            <w:tcW w:type="dxa" w:w="2880"/>
          </w:tcPr>
          <w:p>
            <w:pPr>
              <w:jc w:val="left"/>
            </w:pPr>
            <w:r>
              <w:rPr>
                <w:rFonts w:ascii="Arial" w:hAnsi="Arial" w:eastAsia="Arial"/>
              </w:rPr>
              <w:t>18%</w:t>
            </w:r>
          </w:p>
        </w:tc>
      </w:tr>
      <w:tr>
        <w:tc>
          <w:tcPr>
            <w:tcW w:type="dxa" w:w="2880"/>
          </w:tcPr>
          <w:p>
            <w:pPr>
              <w:jc w:val="left"/>
            </w:pPr>
            <w:r>
              <w:rPr>
                <w:rFonts w:ascii="Arial" w:hAnsi="Arial" w:eastAsia="Arial"/>
              </w:rPr>
              <w:t>Technology and Systems</w:t>
            </w:r>
          </w:p>
        </w:tc>
        <w:tc>
          <w:tcPr>
            <w:tcW w:type="dxa" w:w="2880"/>
          </w:tcPr>
          <w:p>
            <w:pPr>
              <w:jc w:val="left"/>
            </w:pPr>
            <w:r>
              <w:rPr>
                <w:rFonts w:ascii="Arial" w:hAnsi="Arial" w:eastAsia="Arial"/>
              </w:rPr>
              <w:t>10</w:t>
            </w:r>
          </w:p>
        </w:tc>
        <w:tc>
          <w:tcPr>
            <w:tcW w:type="dxa" w:w="2880"/>
          </w:tcPr>
          <w:p>
            <w:pPr>
              <w:jc w:val="left"/>
            </w:pPr>
            <w:r>
              <w:rPr>
                <w:rFonts w:ascii="Arial" w:hAnsi="Arial" w:eastAsia="Arial"/>
              </w:rPr>
              <w:t>4%</w:t>
            </w:r>
          </w:p>
        </w:tc>
      </w:tr>
      <w:tr>
        <w:tc>
          <w:tcPr>
            <w:tcW w:type="dxa" w:w="2880"/>
          </w:tcPr>
          <w:p>
            <w:pPr>
              <w:jc w:val="left"/>
            </w:pPr>
            <w:r>
              <w:rPr>
                <w:rFonts w:ascii="Arial" w:hAnsi="Arial" w:eastAsia="Arial"/>
              </w:rPr>
              <w:t>Establishment, Marketing, and Relations</w:t>
            </w:r>
          </w:p>
        </w:tc>
        <w:tc>
          <w:tcPr>
            <w:tcW w:type="dxa" w:w="2880"/>
          </w:tcPr>
          <w:p>
            <w:pPr>
              <w:jc w:val="left"/>
            </w:pPr>
            <w:r>
              <w:rPr>
                <w:rFonts w:ascii="Arial" w:hAnsi="Arial" w:eastAsia="Arial"/>
              </w:rPr>
              <w:t>15</w:t>
            </w:r>
          </w:p>
        </w:tc>
        <w:tc>
          <w:tcPr>
            <w:tcW w:type="dxa" w:w="2880"/>
          </w:tcPr>
          <w:p>
            <w:pPr>
              <w:jc w:val="left"/>
            </w:pPr>
            <w:r>
              <w:rPr>
                <w:rFonts w:ascii="Arial" w:hAnsi="Arial" w:eastAsia="Arial"/>
              </w:rPr>
              <w:t>7%</w:t>
            </w:r>
          </w:p>
        </w:tc>
      </w:tr>
      <w:tr>
        <w:tc>
          <w:tcPr>
            <w:tcW w:type="dxa" w:w="2880"/>
          </w:tcPr>
          <w:p>
            <w:pPr>
              <w:jc w:val="left"/>
            </w:pPr>
            <w:r>
              <w:rPr>
                <w:rFonts w:ascii="Arial" w:hAnsi="Arial" w:eastAsia="Arial"/>
              </w:rPr>
              <w:t>Emergency Liquidity Reserve</w:t>
            </w:r>
          </w:p>
        </w:tc>
        <w:tc>
          <w:tcPr>
            <w:tcW w:type="dxa" w:w="2880"/>
          </w:tcPr>
          <w:p>
            <w:pPr>
              <w:jc w:val="left"/>
            </w:pPr>
            <w:r>
              <w:rPr>
                <w:rFonts w:ascii="Arial" w:hAnsi="Arial" w:eastAsia="Arial"/>
              </w:rPr>
              <w:t>11</w:t>
            </w:r>
          </w:p>
        </w:tc>
        <w:tc>
          <w:tcPr>
            <w:tcW w:type="dxa" w:w="2880"/>
          </w:tcPr>
          <w:p>
            <w:pPr>
              <w:jc w:val="left"/>
            </w:pPr>
            <w:r>
              <w:rPr>
                <w:rFonts w:ascii="Arial" w:hAnsi="Arial" w:eastAsia="Arial"/>
              </w:rPr>
              <w:t>5%</w:t>
            </w:r>
          </w:p>
        </w:tc>
      </w:tr>
    </w:tbl>
    <w:p>
      <w:pPr>
        <w:pStyle w:val="Heading2"/>
        <w:jc w:val="left"/>
      </w:pPr>
      <w:r>
        <w:rPr>
          <w:rFonts w:ascii="Arial" w:hAnsi="Arial" w:eastAsia="Arial"/>
          <w:color w:val="D4A853"/>
        </w:rPr>
        <w:t>2.4 Phased Capital Drawdown</w:t>
      </w:r>
    </w:p>
    <w:p>
      <w:pPr>
        <w:pStyle w:val="ListBullet"/>
        <w:jc w:val="left"/>
      </w:pPr>
      <w:r>
        <w:rPr>
          <w:rFonts w:ascii="Arial" w:hAnsi="Arial" w:eastAsia="Arial"/>
          <w:sz w:val="22"/>
        </w:rPr>
        <w:t>First Tranche (30%): Establishment and purchase of first 3-5 buildings.</w:t>
      </w:r>
    </w:p>
    <w:p>
      <w:pPr>
        <w:pStyle w:val="ListBullet"/>
        <w:jc w:val="left"/>
      </w:pPr>
      <w:r>
        <w:rPr>
          <w:rFonts w:ascii="Arial" w:hAnsi="Arial" w:eastAsia="Arial"/>
          <w:sz w:val="22"/>
        </w:rPr>
        <w:t>Second Tranche (30%): Completion of first projects and initial revenue.</w:t>
      </w:r>
    </w:p>
    <w:p>
      <w:pPr>
        <w:pStyle w:val="ListBullet"/>
        <w:jc w:val="left"/>
      </w:pPr>
      <w:r>
        <w:rPr>
          <w:rFonts w:ascii="Arial" w:hAnsi="Arial" w:eastAsia="Arial"/>
          <w:sz w:val="22"/>
        </w:rPr>
        <w:t>Third Tranche (25%): Reaching 6 active projects and operational break-even.</w:t>
      </w:r>
    </w:p>
    <w:p>
      <w:pPr>
        <w:pStyle w:val="ListBullet"/>
        <w:jc w:val="left"/>
      </w:pPr>
      <w:r>
        <w:rPr>
          <w:rFonts w:ascii="Arial" w:hAnsi="Arial" w:eastAsia="Arial"/>
          <w:sz w:val="22"/>
        </w:rPr>
        <w:t>Fourth Tranche (15%): Flexible reserve for future needs or shareholder distribution.</w:t>
      </w:r>
    </w:p>
    <w:p>
      <w:r>
        <w:br w:type="page"/>
      </w:r>
    </w:p>
    <w:p>
      <w:pPr>
        <w:pStyle w:val="Heading1"/>
        <w:jc w:val="left"/>
      </w:pPr>
      <w:r>
        <w:rPr>
          <w:rFonts w:ascii="Arial" w:hAnsi="Arial" w:eastAsia="Arial"/>
          <w:color w:val="003366"/>
        </w:rPr>
        <w:t>3. Market Analysis</w:t>
      </w:r>
    </w:p>
    <w:p>
      <w:pPr>
        <w:jc w:val="left"/>
      </w:pPr>
      <w:r>
        <w:rPr>
          <w:rFonts w:ascii="Arial" w:hAnsi="Arial" w:eastAsia="Arial"/>
          <w:b w:val="0"/>
          <w:i w:val="0"/>
          <w:sz w:val="24"/>
        </w:rPr>
        <w:t>The Saudi real estate market is experiencing structural transformation. Major cities like Riyadh and Jeddah offer exceptional rental yields compared to global capitals. The demand for ready-built units exceeds supply, creating a significant opportunity for asset revitalization.</w:t>
      </w:r>
    </w:p>
    <w:p>
      <w:pPr>
        <w:pStyle w:val="Heading2"/>
        <w:jc w:val="left"/>
      </w:pPr>
      <w:r>
        <w:rPr>
          <w:rFonts w:ascii="Arial" w:hAnsi="Arial" w:eastAsia="Arial"/>
          <w:color w:val="D4A853"/>
        </w:rPr>
        <w:t>3.1 Target Areas</w:t>
      </w:r>
    </w:p>
    <w:p>
      <w:pPr>
        <w:jc w:val="left"/>
      </w:pPr>
      <w:r>
        <w:rPr>
          <w:rFonts w:ascii="Arial" w:hAnsi="Arial" w:eastAsia="Arial"/>
          <w:b/>
          <w:i w:val="0"/>
          <w:sz w:val="24"/>
        </w:rPr>
        <w:t>Riyadh:</w:t>
      </w:r>
    </w:p>
    <w:p>
      <w:pPr>
        <w:pStyle w:val="ListBullet"/>
        <w:jc w:val="left"/>
      </w:pPr>
      <w:r>
        <w:rPr>
          <w:rFonts w:ascii="Arial" w:hAnsi="Arial" w:eastAsia="Arial"/>
          <w:sz w:val="22"/>
        </w:rPr>
        <w:t>Premium North: Al-Aqeeq, Hittin, Al-Malqa - high rental yields and executive demand.</w:t>
      </w:r>
    </w:p>
    <w:p>
      <w:pPr>
        <w:pStyle w:val="ListBullet"/>
        <w:jc w:val="left"/>
      </w:pPr>
      <w:r>
        <w:rPr>
          <w:rFonts w:ascii="Arial" w:hAnsi="Arial" w:eastAsia="Arial"/>
          <w:sz w:val="22"/>
        </w:rPr>
        <w:t>Northeast: Al-Munsiyah, Al-Rimal, Al-Yasmin, Al-Narjis - high density and modern infrastructure.</w:t>
      </w:r>
    </w:p>
    <w:p>
      <w:pPr>
        <w:jc w:val="left"/>
      </w:pPr>
      <w:r>
        <w:rPr>
          <w:rFonts w:ascii="Arial" w:hAnsi="Arial" w:eastAsia="Arial"/>
          <w:b/>
          <w:i w:val="0"/>
          <w:sz w:val="24"/>
        </w:rPr>
        <w:t>Jeddah:</w:t>
      </w:r>
    </w:p>
    <w:p>
      <w:pPr>
        <w:pStyle w:val="ListBullet"/>
        <w:jc w:val="left"/>
      </w:pPr>
      <w:r>
        <w:rPr>
          <w:rFonts w:ascii="Arial" w:hAnsi="Arial" w:eastAsia="Arial"/>
          <w:sz w:val="22"/>
        </w:rPr>
        <w:t>North Coast: Abhur Al-Shamaliyah, Al-Sawari - long-term residential and tourism potential.</w:t>
      </w:r>
    </w:p>
    <w:p>
      <w:pPr>
        <w:pStyle w:val="ListBullet"/>
        <w:jc w:val="left"/>
      </w:pPr>
      <w:r>
        <w:rPr>
          <w:rFonts w:ascii="Arial" w:hAnsi="Arial" w:eastAsia="Arial"/>
          <w:sz w:val="22"/>
        </w:rPr>
        <w:t>Vibrant Center: Al-Hamra, Al-Naeem, Al-Zahra, Al-Salama - stable rental yields.</w:t>
      </w:r>
    </w:p>
    <w:p>
      <w:pPr>
        <w:pStyle w:val="Heading2"/>
        <w:jc w:val="left"/>
      </w:pPr>
      <w:r>
        <w:rPr>
          <w:rFonts w:ascii="Arial" w:hAnsi="Arial" w:eastAsia="Arial"/>
          <w:color w:val="D4A853"/>
        </w:rPr>
        <w:t>3.2 Competitive Advantage</w:t>
      </w:r>
    </w:p>
    <w:p>
      <w:pPr>
        <w:jc w:val="left"/>
      </w:pPr>
      <w:r>
        <w:rPr>
          <w:rFonts w:ascii="Arial" w:hAnsi="Arial" w:eastAsia="Arial"/>
          <w:b w:val="0"/>
          <w:i w:val="0"/>
          <w:sz w:val="24"/>
        </w:rPr>
        <w:t>Traditional developers require land purchase and large capital. Our model focuses on incomplete assets through partnership, allowing faster execution, lower risk, and access to opportunities that large developers overlook.</w:t>
      </w:r>
    </w:p>
    <w:p>
      <w:r>
        <w:br w:type="page"/>
      </w:r>
    </w:p>
    <w:p>
      <w:pPr>
        <w:pStyle w:val="Heading1"/>
        <w:jc w:val="left"/>
      </w:pPr>
      <w:r>
        <w:rPr>
          <w:rFonts w:ascii="Arial" w:hAnsi="Arial" w:eastAsia="Arial"/>
          <w:color w:val="003366"/>
        </w:rPr>
        <w:t>4. Commercial Model</w:t>
      </w:r>
    </w:p>
    <w:p>
      <w:pPr>
        <w:jc w:val="left"/>
      </w:pPr>
      <w:r>
        <w:rPr>
          <w:rFonts w:ascii="Arial" w:hAnsi="Arial" w:eastAsia="Arial"/>
          <w:b w:val="0"/>
          <w:i w:val="0"/>
          <w:sz w:val="24"/>
        </w:rPr>
        <w:t>The company operates through a hybrid partnership model that balances risk and return:</w:t>
      </w:r>
    </w:p>
    <w:p>
      <w:pPr>
        <w:pStyle w:val="Heading2"/>
        <w:jc w:val="left"/>
      </w:pPr>
      <w:r>
        <w:rPr>
          <w:rFonts w:ascii="Arial" w:hAnsi="Arial" w:eastAsia="Arial"/>
          <w:color w:val="D4A853"/>
        </w:rPr>
        <w:t>Partnership Models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Model</w:t>
            </w:r>
          </w:p>
        </w:tc>
        <w:tc>
          <w:tcPr>
            <w:tcW w:type="dxa" w:w="4320"/>
            <w:shd w:fill="0A0F1A"/>
          </w:tcPr>
          <w:p>
            <w:pPr>
              <w:jc w:val="left"/>
            </w:pPr>
            <w:r>
              <w:rPr>
                <w:rFonts w:ascii="Arial" w:hAnsi="Arial" w:eastAsia="Arial"/>
                <w:b/>
                <w:color w:val="FFFFFF"/>
              </w:rPr>
              <w:t>Description</w:t>
            </w:r>
          </w:p>
        </w:tc>
      </w:tr>
      <w:tr>
        <w:tc>
          <w:tcPr>
            <w:tcW w:type="dxa" w:w="4320"/>
          </w:tcPr>
          <w:p>
            <w:pPr>
              <w:jc w:val="left"/>
            </w:pPr>
            <w:r>
              <w:rPr>
                <w:rFonts w:ascii="Arial" w:hAnsi="Arial" w:eastAsia="Arial"/>
              </w:rPr>
              <w:t>Model</w:t>
            </w:r>
          </w:p>
        </w:tc>
        <w:tc>
          <w:tcPr>
            <w:tcW w:type="dxa" w:w="4320"/>
          </w:tcPr>
          <w:p>
            <w:pPr>
              <w:jc w:val="left"/>
            </w:pPr>
            <w:r>
              <w:rPr>
                <w:rFonts w:ascii="Arial" w:hAnsi="Arial" w:eastAsia="Arial"/>
              </w:rPr>
              <w:t>Description</w:t>
            </w:r>
          </w:p>
        </w:tc>
      </w:tr>
      <w:tr>
        <w:tc>
          <w:tcPr>
            <w:tcW w:type="dxa" w:w="4320"/>
          </w:tcPr>
          <w:p>
            <w:pPr>
              <w:jc w:val="left"/>
            </w:pPr>
            <w:r>
              <w:rPr>
                <w:rFonts w:ascii="Arial" w:hAnsi="Arial" w:eastAsia="Arial"/>
              </w:rPr>
              <w:t>Full Muhassah</w:t>
            </w:r>
          </w:p>
        </w:tc>
        <w:tc>
          <w:tcPr>
            <w:tcW w:type="dxa" w:w="4320"/>
          </w:tcPr>
          <w:p>
            <w:pPr>
              <w:jc w:val="left"/>
            </w:pPr>
            <w:r>
              <w:rPr>
                <w:rFonts w:ascii="Arial" w:hAnsi="Arial" w:eastAsia="Arial"/>
              </w:rPr>
              <w:t>Company handles finishing and marketing for agreed profit share</w:t>
            </w:r>
          </w:p>
        </w:tc>
      </w:tr>
      <w:tr>
        <w:tc>
          <w:tcPr>
            <w:tcW w:type="dxa" w:w="4320"/>
          </w:tcPr>
          <w:p>
            <w:pPr>
              <w:jc w:val="left"/>
            </w:pPr>
            <w:r>
              <w:rPr>
                <w:rFonts w:ascii="Arial" w:hAnsi="Arial" w:eastAsia="Arial"/>
              </w:rPr>
              <w:t>Partial Purchase</w:t>
            </w:r>
          </w:p>
        </w:tc>
        <w:tc>
          <w:tcPr>
            <w:tcW w:type="dxa" w:w="4320"/>
          </w:tcPr>
          <w:p>
            <w:pPr>
              <w:jc w:val="left"/>
            </w:pPr>
            <w:r>
              <w:rPr>
                <w:rFonts w:ascii="Arial" w:hAnsi="Arial" w:eastAsia="Arial"/>
              </w:rPr>
              <w:t>Company buys part of units after finishing</w:t>
            </w:r>
          </w:p>
        </w:tc>
      </w:tr>
      <w:tr>
        <w:tc>
          <w:tcPr>
            <w:tcW w:type="dxa" w:w="4320"/>
          </w:tcPr>
          <w:p>
            <w:pPr>
              <w:jc w:val="left"/>
            </w:pPr>
            <w:r>
              <w:rPr>
                <w:rFonts w:ascii="Arial" w:hAnsi="Arial" w:eastAsia="Arial"/>
              </w:rPr>
              <w:t>Management Fee</w:t>
            </w:r>
          </w:p>
        </w:tc>
        <w:tc>
          <w:tcPr>
            <w:tcW w:type="dxa" w:w="4320"/>
          </w:tcPr>
          <w:p>
            <w:pPr>
              <w:jc w:val="left"/>
            </w:pPr>
            <w:r>
              <w:rPr>
                <w:rFonts w:ascii="Arial" w:hAnsi="Arial" w:eastAsia="Arial"/>
              </w:rPr>
              <w:t>Fixed fee for finishing and marketing services</w:t>
            </w:r>
          </w:p>
        </w:tc>
      </w:tr>
      <w:tr>
        <w:tc>
          <w:tcPr>
            <w:tcW w:type="dxa" w:w="4320"/>
          </w:tcPr>
          <w:p>
            <w:pPr>
              <w:jc w:val="left"/>
            </w:pPr>
            <w:r>
              <w:rPr>
                <w:rFonts w:ascii="Arial" w:hAnsi="Arial" w:eastAsia="Arial"/>
              </w:rPr>
              <w:t>Hybrid Model</w:t>
            </w:r>
          </w:p>
        </w:tc>
        <w:tc>
          <w:tcPr>
            <w:tcW w:type="dxa" w:w="4320"/>
          </w:tcPr>
          <w:p>
            <w:pPr>
              <w:jc w:val="left"/>
            </w:pPr>
            <w:r>
              <w:rPr>
                <w:rFonts w:ascii="Arial" w:hAnsi="Arial" w:eastAsia="Arial"/>
              </w:rPr>
              <w:t>Combination of Muhassah, purchase, and management fees</w:t>
            </w:r>
          </w:p>
        </w:tc>
      </w:tr>
    </w:tbl>
    <w:p>
      <w:pPr>
        <w:pStyle w:val="Heading2"/>
        <w:jc w:val="left"/>
      </w:pPr>
      <w:r>
        <w:rPr>
          <w:rFonts w:ascii="Arial" w:hAnsi="Arial" w:eastAsia="Arial"/>
          <w:color w:val="D4A853"/>
        </w:rPr>
        <w:t>Revenue Sources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Source</w:t>
            </w:r>
          </w:p>
        </w:tc>
        <w:tc>
          <w:tcPr>
            <w:tcW w:type="dxa" w:w="4320"/>
            <w:shd w:fill="0A0F1A"/>
          </w:tcPr>
          <w:p>
            <w:pPr>
              <w:jc w:val="left"/>
            </w:pPr>
            <w:r>
              <w:rPr>
                <w:rFonts w:ascii="Arial" w:hAnsi="Arial" w:eastAsia="Arial"/>
                <w:b/>
                <w:color w:val="FFFFFF"/>
              </w:rPr>
              <w:t>Share</w:t>
            </w:r>
          </w:p>
        </w:tc>
      </w:tr>
      <w:tr>
        <w:tc>
          <w:tcPr>
            <w:tcW w:type="dxa" w:w="4320"/>
          </w:tcPr>
          <w:p>
            <w:pPr>
              <w:jc w:val="left"/>
            </w:pPr>
            <w:r>
              <w:rPr>
                <w:rFonts w:ascii="Arial" w:hAnsi="Arial" w:eastAsia="Arial"/>
              </w:rPr>
              <w:t>Source</w:t>
            </w:r>
          </w:p>
        </w:tc>
        <w:tc>
          <w:tcPr>
            <w:tcW w:type="dxa" w:w="4320"/>
          </w:tcPr>
          <w:p>
            <w:pPr>
              <w:jc w:val="left"/>
            </w:pPr>
            <w:r>
              <w:rPr>
                <w:rFonts w:ascii="Arial" w:hAnsi="Arial" w:eastAsia="Arial"/>
              </w:rPr>
              <w:t>Expected Share</w:t>
            </w:r>
          </w:p>
        </w:tc>
      </w:tr>
      <w:tr>
        <w:tc>
          <w:tcPr>
            <w:tcW w:type="dxa" w:w="4320"/>
          </w:tcPr>
          <w:p>
            <w:pPr>
              <w:jc w:val="left"/>
            </w:pPr>
            <w:r>
              <w:rPr>
                <w:rFonts w:ascii="Arial" w:hAnsi="Arial" w:eastAsia="Arial"/>
              </w:rPr>
              <w:t>Muhassah Revenues</w:t>
            </w:r>
          </w:p>
        </w:tc>
        <w:tc>
          <w:tcPr>
            <w:tcW w:type="dxa" w:w="4320"/>
          </w:tcPr>
          <w:p>
            <w:pPr>
              <w:jc w:val="left"/>
            </w:pPr>
            <w:r>
              <w:rPr>
                <w:rFonts w:ascii="Arial" w:hAnsi="Arial" w:eastAsia="Arial"/>
              </w:rPr>
              <w:t>60%</w:t>
            </w:r>
          </w:p>
        </w:tc>
      </w:tr>
      <w:tr>
        <w:tc>
          <w:tcPr>
            <w:tcW w:type="dxa" w:w="4320"/>
          </w:tcPr>
          <w:p>
            <w:pPr>
              <w:jc w:val="left"/>
            </w:pPr>
            <w:r>
              <w:rPr>
                <w:rFonts w:ascii="Arial" w:hAnsi="Arial" w:eastAsia="Arial"/>
              </w:rPr>
              <w:t>Resale Profits</w:t>
            </w:r>
          </w:p>
        </w:tc>
        <w:tc>
          <w:tcPr>
            <w:tcW w:type="dxa" w:w="4320"/>
          </w:tcPr>
          <w:p>
            <w:pPr>
              <w:jc w:val="left"/>
            </w:pPr>
            <w:r>
              <w:rPr>
                <w:rFonts w:ascii="Arial" w:hAnsi="Arial" w:eastAsia="Arial"/>
              </w:rPr>
              <w:t>25%</w:t>
            </w:r>
          </w:p>
        </w:tc>
      </w:tr>
      <w:tr>
        <w:tc>
          <w:tcPr>
            <w:tcW w:type="dxa" w:w="4320"/>
          </w:tcPr>
          <w:p>
            <w:pPr>
              <w:jc w:val="left"/>
            </w:pPr>
            <w:r>
              <w:rPr>
                <w:rFonts w:ascii="Arial" w:hAnsi="Arial" w:eastAsia="Arial"/>
              </w:rPr>
              <w:t>Management Fees</w:t>
            </w:r>
          </w:p>
        </w:tc>
        <w:tc>
          <w:tcPr>
            <w:tcW w:type="dxa" w:w="4320"/>
          </w:tcPr>
          <w:p>
            <w:pPr>
              <w:jc w:val="left"/>
            </w:pPr>
            <w:r>
              <w:rPr>
                <w:rFonts w:ascii="Arial" w:hAnsi="Arial" w:eastAsia="Arial"/>
              </w:rPr>
              <w:t>10%</w:t>
            </w:r>
          </w:p>
        </w:tc>
      </w:tr>
      <w:tr>
        <w:tc>
          <w:tcPr>
            <w:tcW w:type="dxa" w:w="4320"/>
          </w:tcPr>
          <w:p>
            <w:pPr>
              <w:jc w:val="left"/>
            </w:pPr>
            <w:r>
              <w:rPr>
                <w:rFonts w:ascii="Arial" w:hAnsi="Arial" w:eastAsia="Arial"/>
              </w:rPr>
              <w:t>Consulting Services</w:t>
            </w:r>
          </w:p>
        </w:tc>
        <w:tc>
          <w:tcPr>
            <w:tcW w:type="dxa" w:w="4320"/>
          </w:tcPr>
          <w:p>
            <w:pPr>
              <w:jc w:val="left"/>
            </w:pPr>
            <w:r>
              <w:rPr>
                <w:rFonts w:ascii="Arial" w:hAnsi="Arial" w:eastAsia="Arial"/>
              </w:rPr>
              <w:t>5%</w:t>
            </w:r>
          </w:p>
        </w:tc>
      </w:tr>
    </w:tbl>
    <w:p>
      <w:r>
        <w:br w:type="page"/>
      </w:r>
    </w:p>
    <w:p>
      <w:pPr>
        <w:pStyle w:val="Heading1"/>
        <w:jc w:val="left"/>
      </w:pPr>
      <w:r>
        <w:rPr>
          <w:rFonts w:ascii="Arial" w:hAnsi="Arial" w:eastAsia="Arial"/>
          <w:color w:val="003366"/>
        </w:rPr>
        <w:t>5. Integrated Business Model</w:t>
      </w:r>
    </w:p>
    <w:p>
      <w:pPr>
        <w:jc w:val="left"/>
      </w:pPr>
      <w:r>
        <w:rPr>
          <w:rFonts w:ascii="Arial" w:hAnsi="Arial" w:eastAsia="Arial"/>
          <w:b w:val="0"/>
          <w:i w:val="0"/>
          <w:sz w:val="24"/>
        </w:rPr>
        <w:t>The integrated business model combines multiple revenue streams and cost efficiencies to create a sustainable and scalable operation. By leveraging technology, professional networks, and standardized processes, the company can replicate success across multiple projects.</w:t>
      </w:r>
    </w:p>
    <w:p>
      <w:pPr>
        <w:pStyle w:val="ListBullet"/>
        <w:jc w:val="left"/>
      </w:pPr>
      <w:r>
        <w:rPr>
          <w:rFonts w:ascii="Arial" w:hAnsi="Arial" w:eastAsia="Arial"/>
          <w:sz w:val="22"/>
        </w:rPr>
        <w:t>Centralized project assessment and legal review.</w:t>
      </w:r>
    </w:p>
    <w:p>
      <w:pPr>
        <w:pStyle w:val="ListBullet"/>
        <w:jc w:val="left"/>
      </w:pPr>
      <w:r>
        <w:rPr>
          <w:rFonts w:ascii="Arial" w:hAnsi="Arial" w:eastAsia="Arial"/>
          <w:sz w:val="22"/>
        </w:rPr>
        <w:t>Standardized finishing specifications and contractor management.</w:t>
      </w:r>
    </w:p>
    <w:p>
      <w:pPr>
        <w:pStyle w:val="ListBullet"/>
        <w:jc w:val="left"/>
      </w:pPr>
      <w:r>
        <w:rPr>
          <w:rFonts w:ascii="Arial" w:hAnsi="Arial" w:eastAsia="Arial"/>
          <w:sz w:val="22"/>
        </w:rPr>
        <w:t>Unified marketing and sales platform.</w:t>
      </w:r>
    </w:p>
    <w:p>
      <w:pPr>
        <w:pStyle w:val="ListBullet"/>
        <w:jc w:val="left"/>
      </w:pPr>
      <w:r>
        <w:rPr>
          <w:rFonts w:ascii="Arial" w:hAnsi="Arial" w:eastAsia="Arial"/>
          <w:sz w:val="22"/>
        </w:rPr>
        <w:t>Data-driven asset selection and pricing.</w:t>
      </w:r>
    </w:p>
    <w:p>
      <w:r>
        <w:br w:type="page"/>
      </w:r>
    </w:p>
    <w:p>
      <w:pPr>
        <w:pStyle w:val="Heading1"/>
        <w:jc w:val="left"/>
      </w:pPr>
      <w:r>
        <w:rPr>
          <w:rFonts w:ascii="Arial" w:hAnsi="Arial" w:eastAsia="Arial"/>
          <w:color w:val="003366"/>
        </w:rPr>
        <w:t>6. Organizational Structure and Team</w:t>
      </w:r>
    </w:p>
    <w:p>
      <w:pPr>
        <w:jc w:val="left"/>
      </w:pPr>
      <w:r>
        <w:rPr>
          <w:rFonts w:ascii="Arial" w:hAnsi="Arial" w:eastAsia="Arial"/>
          <w:b w:val="0"/>
          <w:i w:val="0"/>
          <w:sz w:val="24"/>
        </w:rPr>
        <w:t>The organizational structure is designed to be lean and efficient, starting with 15 employees in the early years.</w:t>
      </w:r>
    </w:p>
    <w:p>
      <w:pPr>
        <w:pStyle w:val="Heading2"/>
        <w:jc w:val="left"/>
      </w:pPr>
      <w:r>
        <w:rPr>
          <w:rFonts w:ascii="Arial" w:hAnsi="Arial" w:eastAsia="Arial"/>
          <w:color w:val="D4A853"/>
        </w:rPr>
        <w:t>Key Roles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Role</w:t>
            </w:r>
          </w:p>
        </w:tc>
        <w:tc>
          <w:tcPr>
            <w:tcW w:type="dxa" w:w="4320"/>
            <w:shd w:fill="0A0F1A"/>
          </w:tcPr>
          <w:p>
            <w:pPr>
              <w:jc w:val="left"/>
            </w:pPr>
            <w:r>
              <w:rPr>
                <w:rFonts w:ascii="Arial" w:hAnsi="Arial" w:eastAsia="Arial"/>
                <w:b/>
                <w:color w:val="FFFFFF"/>
              </w:rPr>
              <w:t>Responsibilities</w:t>
            </w:r>
          </w:p>
        </w:tc>
      </w:tr>
      <w:tr>
        <w:tc>
          <w:tcPr>
            <w:tcW w:type="dxa" w:w="4320"/>
          </w:tcPr>
          <w:p>
            <w:pPr>
              <w:jc w:val="left"/>
            </w:pPr>
            <w:r>
              <w:rPr>
                <w:rFonts w:ascii="Arial" w:hAnsi="Arial" w:eastAsia="Arial"/>
              </w:rPr>
              <w:t>Role</w:t>
            </w:r>
          </w:p>
        </w:tc>
        <w:tc>
          <w:tcPr>
            <w:tcW w:type="dxa" w:w="4320"/>
          </w:tcPr>
          <w:p>
            <w:pPr>
              <w:jc w:val="left"/>
            </w:pPr>
            <w:r>
              <w:rPr>
                <w:rFonts w:ascii="Arial" w:hAnsi="Arial" w:eastAsia="Arial"/>
              </w:rPr>
              <w:t>Responsibilities</w:t>
            </w:r>
          </w:p>
        </w:tc>
      </w:tr>
      <w:tr>
        <w:tc>
          <w:tcPr>
            <w:tcW w:type="dxa" w:w="4320"/>
          </w:tcPr>
          <w:p>
            <w:pPr>
              <w:jc w:val="left"/>
            </w:pPr>
            <w:r>
              <w:rPr>
                <w:rFonts w:ascii="Arial" w:hAnsi="Arial" w:eastAsia="Arial"/>
              </w:rPr>
              <w:t>CEO</w:t>
            </w:r>
          </w:p>
        </w:tc>
        <w:tc>
          <w:tcPr>
            <w:tcW w:type="dxa" w:w="4320"/>
          </w:tcPr>
          <w:p>
            <w:pPr>
              <w:jc w:val="left"/>
            </w:pPr>
            <w:r>
              <w:rPr>
                <w:rFonts w:ascii="Arial" w:hAnsi="Arial" w:eastAsia="Arial"/>
              </w:rPr>
              <w:t>Strategy, investor relations, major decisions</w:t>
            </w:r>
          </w:p>
        </w:tc>
      </w:tr>
      <w:tr>
        <w:tc>
          <w:tcPr>
            <w:tcW w:type="dxa" w:w="4320"/>
          </w:tcPr>
          <w:p>
            <w:pPr>
              <w:jc w:val="left"/>
            </w:pPr>
            <w:r>
              <w:rPr>
                <w:rFonts w:ascii="Arial" w:hAnsi="Arial" w:eastAsia="Arial"/>
              </w:rPr>
              <w:t>COO</w:t>
            </w:r>
          </w:p>
        </w:tc>
        <w:tc>
          <w:tcPr>
            <w:tcW w:type="dxa" w:w="4320"/>
          </w:tcPr>
          <w:p>
            <w:pPr>
              <w:jc w:val="left"/>
            </w:pPr>
            <w:r>
              <w:rPr>
                <w:rFonts w:ascii="Arial" w:hAnsi="Arial" w:eastAsia="Arial"/>
              </w:rPr>
              <w:t>Project management, contractor coordination, quality assurance</w:t>
            </w:r>
          </w:p>
        </w:tc>
      </w:tr>
      <w:tr>
        <w:tc>
          <w:tcPr>
            <w:tcW w:type="dxa" w:w="4320"/>
          </w:tcPr>
          <w:p>
            <w:pPr>
              <w:jc w:val="left"/>
            </w:pPr>
            <w:r>
              <w:rPr>
                <w:rFonts w:ascii="Arial" w:hAnsi="Arial" w:eastAsia="Arial"/>
              </w:rPr>
              <w:t>CFO</w:t>
            </w:r>
          </w:p>
        </w:tc>
        <w:tc>
          <w:tcPr>
            <w:tcW w:type="dxa" w:w="4320"/>
          </w:tcPr>
          <w:p>
            <w:pPr>
              <w:jc w:val="left"/>
            </w:pPr>
            <w:r>
              <w:rPr>
                <w:rFonts w:ascii="Arial" w:hAnsi="Arial" w:eastAsia="Arial"/>
              </w:rPr>
              <w:t>Cash flow management, financial reporting, planning</w:t>
            </w:r>
          </w:p>
        </w:tc>
      </w:tr>
      <w:tr>
        <w:tc>
          <w:tcPr>
            <w:tcW w:type="dxa" w:w="4320"/>
          </w:tcPr>
          <w:p>
            <w:pPr>
              <w:jc w:val="left"/>
            </w:pPr>
            <w:r>
              <w:rPr>
                <w:rFonts w:ascii="Arial" w:hAnsi="Arial" w:eastAsia="Arial"/>
              </w:rPr>
              <w:t>Commercial Director</w:t>
            </w:r>
          </w:p>
        </w:tc>
        <w:tc>
          <w:tcPr>
            <w:tcW w:type="dxa" w:w="4320"/>
          </w:tcPr>
          <w:p>
            <w:pPr>
              <w:jc w:val="left"/>
            </w:pPr>
            <w:r>
              <w:rPr>
                <w:rFonts w:ascii="Arial" w:hAnsi="Arial" w:eastAsia="Arial"/>
              </w:rPr>
              <w:t>Marketing, sales, owner relationships</w:t>
            </w:r>
          </w:p>
        </w:tc>
      </w:tr>
      <w:tr>
        <w:tc>
          <w:tcPr>
            <w:tcW w:type="dxa" w:w="4320"/>
          </w:tcPr>
          <w:p>
            <w:pPr>
              <w:jc w:val="left"/>
            </w:pPr>
            <w:r>
              <w:rPr>
                <w:rFonts w:ascii="Arial" w:hAnsi="Arial" w:eastAsia="Arial"/>
              </w:rPr>
              <w:t>Legal Director</w:t>
            </w:r>
          </w:p>
        </w:tc>
        <w:tc>
          <w:tcPr>
            <w:tcW w:type="dxa" w:w="4320"/>
          </w:tcPr>
          <w:p>
            <w:pPr>
              <w:jc w:val="left"/>
            </w:pPr>
            <w:r>
              <w:rPr>
                <w:rFonts w:ascii="Arial" w:hAnsi="Arial" w:eastAsia="Arial"/>
              </w:rPr>
              <w:t>Contracts, compliance, dispute resolution</w:t>
            </w:r>
          </w:p>
        </w:tc>
      </w:tr>
      <w:tr>
        <w:tc>
          <w:tcPr>
            <w:tcW w:type="dxa" w:w="4320"/>
          </w:tcPr>
          <w:p>
            <w:pPr>
              <w:jc w:val="left"/>
            </w:pPr>
            <w:r>
              <w:rPr>
                <w:rFonts w:ascii="Arial" w:hAnsi="Arial" w:eastAsia="Arial"/>
              </w:rPr>
              <w:t>HR &amp; Admin Manager</w:t>
            </w:r>
          </w:p>
        </w:tc>
        <w:tc>
          <w:tcPr>
            <w:tcW w:type="dxa" w:w="4320"/>
          </w:tcPr>
          <w:p>
            <w:pPr>
              <w:jc w:val="left"/>
            </w:pPr>
            <w:r>
              <w:rPr>
                <w:rFonts w:ascii="Arial" w:hAnsi="Arial" w:eastAsia="Arial"/>
              </w:rPr>
              <w:t>Employees and administrative procedures</w:t>
            </w:r>
          </w:p>
        </w:tc>
      </w:tr>
    </w:tbl>
    <w:p>
      <w:pPr>
        <w:pStyle w:val="Heading2"/>
        <w:jc w:val="left"/>
      </w:pPr>
      <w:r>
        <w:rPr>
          <w:rFonts w:ascii="Arial" w:hAnsi="Arial" w:eastAsia="Arial"/>
          <w:color w:val="D4A853"/>
        </w:rPr>
        <w:t>Hiring Plan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Year</w:t>
            </w:r>
          </w:p>
        </w:tc>
        <w:tc>
          <w:tcPr>
            <w:tcW w:type="dxa" w:w="2880"/>
            <w:shd w:fill="0A0F1A"/>
          </w:tcPr>
          <w:p>
            <w:pPr>
              <w:jc w:val="left"/>
            </w:pPr>
            <w:r>
              <w:rPr>
                <w:rFonts w:ascii="Arial" w:hAnsi="Arial" w:eastAsia="Arial"/>
                <w:b/>
                <w:color w:val="FFFFFF"/>
              </w:rPr>
              <w:t>Employees</w:t>
            </w:r>
          </w:p>
        </w:tc>
        <w:tc>
          <w:tcPr>
            <w:tcW w:type="dxa" w:w="2880"/>
            <w:shd w:fill="0A0F1A"/>
          </w:tcPr>
          <w:p>
            <w:pPr>
              <w:jc w:val="left"/>
            </w:pPr>
            <w:r>
              <w:rPr>
                <w:rFonts w:ascii="Arial" w:hAnsi="Arial" w:eastAsia="Arial"/>
                <w:b/>
                <w:color w:val="FFFFFF"/>
              </w:rPr>
              <w:t>Notes</w:t>
            </w:r>
          </w:p>
        </w:tc>
      </w:tr>
      <w:tr>
        <w:tc>
          <w:tcPr>
            <w:tcW w:type="dxa" w:w="2880"/>
          </w:tcPr>
          <w:p>
            <w:pPr>
              <w:jc w:val="left"/>
            </w:pPr>
            <w:r>
              <w:rPr>
                <w:rFonts w:ascii="Arial" w:hAnsi="Arial" w:eastAsia="Arial"/>
              </w:rPr>
              <w:t>Year</w:t>
            </w:r>
          </w:p>
        </w:tc>
        <w:tc>
          <w:tcPr>
            <w:tcW w:type="dxa" w:w="2880"/>
          </w:tcPr>
          <w:p>
            <w:pPr>
              <w:jc w:val="left"/>
            </w:pPr>
            <w:r>
              <w:rPr>
                <w:rFonts w:ascii="Arial" w:hAnsi="Arial" w:eastAsia="Arial"/>
              </w:rPr>
              <w:t>Employees</w:t>
            </w:r>
          </w:p>
        </w:tc>
        <w:tc>
          <w:tcPr>
            <w:tcW w:type="dxa" w:w="2880"/>
          </w:tcPr>
          <w:p>
            <w:pPr>
              <w:jc w:val="left"/>
            </w:pPr>
            <w:r>
              <w:rPr>
                <w:rFonts w:ascii="Arial" w:hAnsi="Arial" w:eastAsia="Arial"/>
              </w:rPr>
              <w:t>Notes</w:t>
            </w:r>
          </w:p>
        </w:tc>
      </w:tr>
      <w:tr>
        <w:tc>
          <w:tcPr>
            <w:tcW w:type="dxa" w:w="2880"/>
          </w:tcPr>
          <w:p>
            <w:pPr>
              <w:jc w:val="left"/>
            </w:pPr>
            <w:r>
              <w:rPr>
                <w:rFonts w:ascii="Arial" w:hAnsi="Arial" w:eastAsia="Arial"/>
              </w:rPr>
              <w:t>1</w:t>
            </w:r>
          </w:p>
        </w:tc>
        <w:tc>
          <w:tcPr>
            <w:tcW w:type="dxa" w:w="2880"/>
          </w:tcPr>
          <w:p>
            <w:pPr>
              <w:jc w:val="left"/>
            </w:pPr>
            <w:r>
              <w:rPr>
                <w:rFonts w:ascii="Arial" w:hAnsi="Arial" w:eastAsia="Arial"/>
              </w:rPr>
              <w:t>10 - 15</w:t>
            </w:r>
          </w:p>
        </w:tc>
        <w:tc>
          <w:tcPr>
            <w:tcW w:type="dxa" w:w="2880"/>
          </w:tcPr>
          <w:p>
            <w:pPr>
              <w:jc w:val="left"/>
            </w:pPr>
            <w:r>
              <w:rPr>
                <w:rFonts w:ascii="Arial" w:hAnsi="Arial" w:eastAsia="Arial"/>
              </w:rPr>
              <w:t>Core team for initial phase</w:t>
            </w:r>
          </w:p>
        </w:tc>
      </w:tr>
      <w:tr>
        <w:tc>
          <w:tcPr>
            <w:tcW w:type="dxa" w:w="2880"/>
          </w:tcPr>
          <w:p>
            <w:pPr>
              <w:jc w:val="left"/>
            </w:pPr>
            <w:r>
              <w:rPr>
                <w:rFonts w:ascii="Arial" w:hAnsi="Arial" w:eastAsia="Arial"/>
              </w:rPr>
              <w:t>2</w:t>
            </w:r>
          </w:p>
        </w:tc>
        <w:tc>
          <w:tcPr>
            <w:tcW w:type="dxa" w:w="2880"/>
          </w:tcPr>
          <w:p>
            <w:pPr>
              <w:jc w:val="left"/>
            </w:pPr>
            <w:r>
              <w:rPr>
                <w:rFonts w:ascii="Arial" w:hAnsi="Arial" w:eastAsia="Arial"/>
              </w:rPr>
              <w:t>15</w:t>
            </w:r>
          </w:p>
        </w:tc>
        <w:tc>
          <w:tcPr>
            <w:tcW w:type="dxa" w:w="2880"/>
          </w:tcPr>
          <w:p>
            <w:pPr>
              <w:jc w:val="left"/>
            </w:pPr>
            <w:r>
              <w:rPr>
                <w:rFonts w:ascii="Arial" w:hAnsi="Arial" w:eastAsia="Arial"/>
              </w:rPr>
              <w:t>Stabilize operations</w:t>
            </w:r>
          </w:p>
        </w:tc>
      </w:tr>
      <w:tr>
        <w:tc>
          <w:tcPr>
            <w:tcW w:type="dxa" w:w="2880"/>
          </w:tcPr>
          <w:p>
            <w:pPr>
              <w:jc w:val="left"/>
            </w:pPr>
            <w:r>
              <w:rPr>
                <w:rFonts w:ascii="Arial" w:hAnsi="Arial" w:eastAsia="Arial"/>
              </w:rPr>
              <w:t>3</w:t>
            </w:r>
          </w:p>
        </w:tc>
        <w:tc>
          <w:tcPr>
            <w:tcW w:type="dxa" w:w="2880"/>
          </w:tcPr>
          <w:p>
            <w:pPr>
              <w:jc w:val="left"/>
            </w:pPr>
            <w:r>
              <w:rPr>
                <w:rFonts w:ascii="Arial" w:hAnsi="Arial" w:eastAsia="Arial"/>
              </w:rPr>
              <w:t>18 - 20</w:t>
            </w:r>
          </w:p>
        </w:tc>
        <w:tc>
          <w:tcPr>
            <w:tcW w:type="dxa" w:w="2880"/>
          </w:tcPr>
          <w:p>
            <w:pPr>
              <w:jc w:val="left"/>
            </w:pPr>
            <w:r>
              <w:rPr>
                <w:rFonts w:ascii="Arial" w:hAnsi="Arial" w:eastAsia="Arial"/>
              </w:rPr>
              <w:t>Expand project volume</w:t>
            </w:r>
          </w:p>
        </w:tc>
      </w:tr>
      <w:tr>
        <w:tc>
          <w:tcPr>
            <w:tcW w:type="dxa" w:w="2880"/>
          </w:tcPr>
          <w:p>
            <w:pPr>
              <w:jc w:val="left"/>
            </w:pPr>
            <w:r>
              <w:rPr>
                <w:rFonts w:ascii="Arial" w:hAnsi="Arial" w:eastAsia="Arial"/>
              </w:rPr>
              <w:t>5</w:t>
            </w:r>
          </w:p>
        </w:tc>
        <w:tc>
          <w:tcPr>
            <w:tcW w:type="dxa" w:w="2880"/>
          </w:tcPr>
          <w:p>
            <w:pPr>
              <w:jc w:val="left"/>
            </w:pPr>
            <w:r>
              <w:rPr>
                <w:rFonts w:ascii="Arial" w:hAnsi="Arial" w:eastAsia="Arial"/>
              </w:rPr>
              <w:t>25 - 30</w:t>
            </w:r>
          </w:p>
        </w:tc>
        <w:tc>
          <w:tcPr>
            <w:tcW w:type="dxa" w:w="2880"/>
          </w:tcPr>
          <w:p>
            <w:pPr>
              <w:jc w:val="left"/>
            </w:pPr>
            <w:r>
              <w:rPr>
                <w:rFonts w:ascii="Arial" w:hAnsi="Arial" w:eastAsia="Arial"/>
              </w:rPr>
              <w:t>Support 10 projects annually</w:t>
            </w:r>
          </w:p>
        </w:tc>
      </w:tr>
    </w:tbl>
    <w:p>
      <w:r>
        <w:br w:type="page"/>
      </w:r>
    </w:p>
    <w:p>
      <w:pPr>
        <w:pStyle w:val="Heading1"/>
        <w:jc w:val="left"/>
      </w:pPr>
      <w:r>
        <w:rPr>
          <w:rFonts w:ascii="Arial" w:hAnsi="Arial" w:eastAsia="Arial"/>
          <w:color w:val="003366"/>
        </w:rPr>
        <w:t>7. Operational Plan</w:t>
      </w:r>
    </w:p>
    <w:p>
      <w:pPr>
        <w:pStyle w:val="Heading2"/>
        <w:jc w:val="left"/>
      </w:pPr>
      <w:r>
        <w:rPr>
          <w:rFonts w:ascii="Arial" w:hAnsi="Arial" w:eastAsia="Arial"/>
          <w:color w:val="D4A853"/>
        </w:rPr>
        <w:t>7.1 Project Phases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Phase</w:t>
            </w:r>
          </w:p>
        </w:tc>
        <w:tc>
          <w:tcPr>
            <w:tcW w:type="dxa" w:w="2880"/>
            <w:shd w:fill="0A0F1A"/>
          </w:tcPr>
          <w:p>
            <w:pPr>
              <w:jc w:val="left"/>
            </w:pPr>
            <w:r>
              <w:rPr>
                <w:rFonts w:ascii="Arial" w:hAnsi="Arial" w:eastAsia="Arial"/>
                <w:b/>
                <w:color w:val="FFFFFF"/>
              </w:rPr>
              <w:t>Duration</w:t>
            </w:r>
          </w:p>
        </w:tc>
        <w:tc>
          <w:tcPr>
            <w:tcW w:type="dxa" w:w="2880"/>
            <w:shd w:fill="0A0F1A"/>
          </w:tcPr>
          <w:p>
            <w:pPr>
              <w:jc w:val="left"/>
            </w:pPr>
            <w:r>
              <w:rPr>
                <w:rFonts w:ascii="Arial" w:hAnsi="Arial" w:eastAsia="Arial"/>
                <w:b/>
                <w:color w:val="FFFFFF"/>
              </w:rPr>
              <w:t>Activities</w:t>
            </w:r>
          </w:p>
        </w:tc>
      </w:tr>
      <w:tr>
        <w:tc>
          <w:tcPr>
            <w:tcW w:type="dxa" w:w="2880"/>
          </w:tcPr>
          <w:p>
            <w:pPr>
              <w:jc w:val="left"/>
            </w:pPr>
            <w:r>
              <w:rPr>
                <w:rFonts w:ascii="Arial" w:hAnsi="Arial" w:eastAsia="Arial"/>
              </w:rPr>
              <w:t>Phase</w:t>
            </w:r>
          </w:p>
        </w:tc>
        <w:tc>
          <w:tcPr>
            <w:tcW w:type="dxa" w:w="2880"/>
          </w:tcPr>
          <w:p>
            <w:pPr>
              <w:jc w:val="left"/>
            </w:pPr>
            <w:r>
              <w:rPr>
                <w:rFonts w:ascii="Arial" w:hAnsi="Arial" w:eastAsia="Arial"/>
              </w:rPr>
              <w:t>Duration</w:t>
            </w:r>
          </w:p>
        </w:tc>
        <w:tc>
          <w:tcPr>
            <w:tcW w:type="dxa" w:w="2880"/>
          </w:tcPr>
          <w:p>
            <w:pPr>
              <w:jc w:val="left"/>
            </w:pPr>
            <w:r>
              <w:rPr>
                <w:rFonts w:ascii="Arial" w:hAnsi="Arial" w:eastAsia="Arial"/>
              </w:rPr>
              <w:t>Activities</w:t>
            </w:r>
          </w:p>
        </w:tc>
      </w:tr>
      <w:tr>
        <w:tc>
          <w:tcPr>
            <w:tcW w:type="dxa" w:w="2880"/>
          </w:tcPr>
          <w:p>
            <w:pPr>
              <w:jc w:val="left"/>
            </w:pPr>
            <w:r>
              <w:rPr>
                <w:rFonts w:ascii="Arial" w:hAnsi="Arial" w:eastAsia="Arial"/>
              </w:rPr>
              <w:t>Assessment</w:t>
            </w:r>
          </w:p>
        </w:tc>
        <w:tc>
          <w:tcPr>
            <w:tcW w:type="dxa" w:w="2880"/>
          </w:tcPr>
          <w:p>
            <w:pPr>
              <w:jc w:val="left"/>
            </w:pPr>
            <w:r>
              <w:rPr>
                <w:rFonts w:ascii="Arial" w:hAnsi="Arial" w:eastAsia="Arial"/>
              </w:rPr>
              <w:t>4 weeks</w:t>
            </w:r>
          </w:p>
        </w:tc>
        <w:tc>
          <w:tcPr>
            <w:tcW w:type="dxa" w:w="2880"/>
          </w:tcPr>
          <w:p>
            <w:pPr>
              <w:jc w:val="left"/>
            </w:pPr>
            <w:r>
              <w:rPr>
                <w:rFonts w:ascii="Arial" w:hAnsi="Arial" w:eastAsia="Arial"/>
              </w:rPr>
              <w:t>Structural inspection, legal review, cost estimate</w:t>
            </w:r>
          </w:p>
        </w:tc>
      </w:tr>
      <w:tr>
        <w:tc>
          <w:tcPr>
            <w:tcW w:type="dxa" w:w="2880"/>
          </w:tcPr>
          <w:p>
            <w:pPr>
              <w:jc w:val="left"/>
            </w:pPr>
            <w:r>
              <w:rPr>
                <w:rFonts w:ascii="Arial" w:hAnsi="Arial" w:eastAsia="Arial"/>
              </w:rPr>
              <w:t>Contracting</w:t>
            </w:r>
          </w:p>
        </w:tc>
        <w:tc>
          <w:tcPr>
            <w:tcW w:type="dxa" w:w="2880"/>
          </w:tcPr>
          <w:p>
            <w:pPr>
              <w:jc w:val="left"/>
            </w:pPr>
            <w:r>
              <w:rPr>
                <w:rFonts w:ascii="Arial" w:hAnsi="Arial" w:eastAsia="Arial"/>
              </w:rPr>
              <w:t>2 - 4 weeks</w:t>
            </w:r>
          </w:p>
        </w:tc>
        <w:tc>
          <w:tcPr>
            <w:tcW w:type="dxa" w:w="2880"/>
          </w:tcPr>
          <w:p>
            <w:pPr>
              <w:jc w:val="left"/>
            </w:pPr>
            <w:r>
              <w:rPr>
                <w:rFonts w:ascii="Arial" w:hAnsi="Arial" w:eastAsia="Arial"/>
              </w:rPr>
              <w:t>Muhassah contract, approvals</w:t>
            </w:r>
          </w:p>
        </w:tc>
      </w:tr>
      <w:tr>
        <w:tc>
          <w:tcPr>
            <w:tcW w:type="dxa" w:w="2880"/>
          </w:tcPr>
          <w:p>
            <w:pPr>
              <w:jc w:val="left"/>
            </w:pPr>
            <w:r>
              <w:rPr>
                <w:rFonts w:ascii="Arial" w:hAnsi="Arial" w:eastAsia="Arial"/>
              </w:rPr>
              <w:t>Design</w:t>
            </w:r>
          </w:p>
        </w:tc>
        <w:tc>
          <w:tcPr>
            <w:tcW w:type="dxa" w:w="2880"/>
          </w:tcPr>
          <w:p>
            <w:pPr>
              <w:jc w:val="left"/>
            </w:pPr>
            <w:r>
              <w:rPr>
                <w:rFonts w:ascii="Arial" w:hAnsi="Arial" w:eastAsia="Arial"/>
              </w:rPr>
              <w:t>4 - 8 weeks</w:t>
            </w:r>
          </w:p>
        </w:tc>
        <w:tc>
          <w:tcPr>
            <w:tcW w:type="dxa" w:w="2880"/>
          </w:tcPr>
          <w:p>
            <w:pPr>
              <w:jc w:val="left"/>
            </w:pPr>
            <w:r>
              <w:rPr>
                <w:rFonts w:ascii="Arial" w:hAnsi="Arial" w:eastAsia="Arial"/>
              </w:rPr>
              <w:t>Architectural design, municipal licenses</w:t>
            </w:r>
          </w:p>
        </w:tc>
      </w:tr>
      <w:tr>
        <w:tc>
          <w:tcPr>
            <w:tcW w:type="dxa" w:w="2880"/>
          </w:tcPr>
          <w:p>
            <w:pPr>
              <w:jc w:val="left"/>
            </w:pPr>
            <w:r>
              <w:rPr>
                <w:rFonts w:ascii="Arial" w:hAnsi="Arial" w:eastAsia="Arial"/>
              </w:rPr>
              <w:t>Finishing</w:t>
            </w:r>
          </w:p>
        </w:tc>
        <w:tc>
          <w:tcPr>
            <w:tcW w:type="dxa" w:w="2880"/>
          </w:tcPr>
          <w:p>
            <w:pPr>
              <w:jc w:val="left"/>
            </w:pPr>
            <w:r>
              <w:rPr>
                <w:rFonts w:ascii="Arial" w:hAnsi="Arial" w:eastAsia="Arial"/>
              </w:rPr>
              <w:t>16 - 24 weeks</w:t>
            </w:r>
          </w:p>
        </w:tc>
        <w:tc>
          <w:tcPr>
            <w:tcW w:type="dxa" w:w="2880"/>
          </w:tcPr>
          <w:p>
            <w:pPr>
              <w:jc w:val="left"/>
            </w:pPr>
            <w:r>
              <w:rPr>
                <w:rFonts w:ascii="Arial" w:hAnsi="Arial" w:eastAsia="Arial"/>
              </w:rPr>
              <w:t>Contractor selection, daily supervision</w:t>
            </w:r>
          </w:p>
        </w:tc>
      </w:tr>
      <w:tr>
        <w:tc>
          <w:tcPr>
            <w:tcW w:type="dxa" w:w="2880"/>
          </w:tcPr>
          <w:p>
            <w:pPr>
              <w:jc w:val="left"/>
            </w:pPr>
            <w:r>
              <w:rPr>
                <w:rFonts w:ascii="Arial" w:hAnsi="Arial" w:eastAsia="Arial"/>
              </w:rPr>
              <w:t>Marketing &amp; Sales</w:t>
            </w:r>
          </w:p>
        </w:tc>
        <w:tc>
          <w:tcPr>
            <w:tcW w:type="dxa" w:w="2880"/>
          </w:tcPr>
          <w:p>
            <w:pPr>
              <w:jc w:val="left"/>
            </w:pPr>
            <w:r>
              <w:rPr>
                <w:rFonts w:ascii="Arial" w:hAnsi="Arial" w:eastAsia="Arial"/>
              </w:rPr>
              <w:t>12 - 24 weeks</w:t>
            </w:r>
          </w:p>
        </w:tc>
        <w:tc>
          <w:tcPr>
            <w:tcW w:type="dxa" w:w="2880"/>
          </w:tcPr>
          <w:p>
            <w:pPr>
              <w:jc w:val="left"/>
            </w:pPr>
            <w:r>
              <w:rPr>
                <w:rFonts w:ascii="Arial" w:hAnsi="Arial" w:eastAsia="Arial"/>
              </w:rPr>
              <w:t>Unit display, client reception, sales contracts</w:t>
            </w:r>
          </w:p>
        </w:tc>
      </w:tr>
      <w:tr>
        <w:tc>
          <w:tcPr>
            <w:tcW w:type="dxa" w:w="2880"/>
          </w:tcPr>
          <w:p>
            <w:pPr>
              <w:jc w:val="left"/>
            </w:pPr>
            <w:r>
              <w:rPr>
                <w:rFonts w:ascii="Arial" w:hAnsi="Arial" w:eastAsia="Arial"/>
              </w:rPr>
              <w:t>Delivery &amp; Settlement</w:t>
            </w:r>
          </w:p>
        </w:tc>
        <w:tc>
          <w:tcPr>
            <w:tcW w:type="dxa" w:w="2880"/>
          </w:tcPr>
          <w:p>
            <w:pPr>
              <w:jc w:val="left"/>
            </w:pPr>
            <w:r>
              <w:rPr>
                <w:rFonts w:ascii="Arial" w:hAnsi="Arial" w:eastAsia="Arial"/>
              </w:rPr>
              <w:t>4 - 8 weeks</w:t>
            </w:r>
          </w:p>
        </w:tc>
        <w:tc>
          <w:tcPr>
            <w:tcW w:type="dxa" w:w="2880"/>
          </w:tcPr>
          <w:p>
            <w:pPr>
              <w:jc w:val="left"/>
            </w:pPr>
            <w:r>
              <w:rPr>
                <w:rFonts w:ascii="Arial" w:hAnsi="Arial" w:eastAsia="Arial"/>
              </w:rPr>
              <w:t>Unit delivery, ownership transfer, profit sharing</w:t>
            </w:r>
          </w:p>
        </w:tc>
      </w:tr>
    </w:tbl>
    <w:p>
      <w:pPr>
        <w:pStyle w:val="Heading2"/>
        <w:jc w:val="left"/>
      </w:pPr>
      <w:r>
        <w:rPr>
          <w:rFonts w:ascii="Arial" w:hAnsi="Arial" w:eastAsia="Arial"/>
          <w:color w:val="D4A853"/>
        </w:rPr>
        <w:t>7.2 Project KPIs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A0F1A"/>
          </w:tcPr>
          <w:p>
            <w:pPr>
              <w:jc w:val="left"/>
            </w:pPr>
            <w:r>
              <w:rPr>
                <w:rFonts w:ascii="Arial" w:hAnsi="Arial" w:eastAsia="Arial"/>
                <w:b/>
                <w:color w:val="FFFFFF"/>
              </w:rPr>
              <w:t>KPI</w:t>
            </w:r>
          </w:p>
        </w:tc>
        <w:tc>
          <w:tcPr>
            <w:tcW w:type="dxa" w:w="2160"/>
            <w:shd w:fill="0A0F1A"/>
          </w:tcPr>
          <w:p>
            <w:pPr>
              <w:jc w:val="left"/>
            </w:pPr>
            <w:r>
              <w:rPr>
                <w:rFonts w:ascii="Arial" w:hAnsi="Arial" w:eastAsia="Arial"/>
                <w:b/>
                <w:color w:val="FFFFFF"/>
              </w:rPr>
              <w:t>Target</w:t>
            </w:r>
          </w:p>
        </w:tc>
        <w:tc>
          <w:tcPr>
            <w:tcW w:type="dxa" w:w="2160"/>
            <w:shd w:fill="0A0F1A"/>
          </w:tcPr>
          <w:p>
            <w:pPr>
              <w:jc w:val="left"/>
            </w:pPr>
            <w:r>
              <w:rPr>
                <w:rFonts w:ascii="Arial" w:hAnsi="Arial" w:eastAsia="Arial"/>
                <w:b/>
                <w:color w:val="FFFFFF"/>
              </w:rPr>
              <w:t>Warning</w:t>
            </w:r>
          </w:p>
        </w:tc>
        <w:tc>
          <w:tcPr>
            <w:tcW w:type="dxa" w:w="2160"/>
            <w:shd w:fill="0A0F1A"/>
          </w:tcPr>
          <w:p>
            <w:pPr>
              <w:jc w:val="left"/>
            </w:pPr>
            <w:r>
              <w:rPr>
                <w:rFonts w:ascii="Arial" w:hAnsi="Arial" w:eastAsia="Arial"/>
                <w:b/>
                <w:color w:val="FFFFFF"/>
              </w:rPr>
              <w:t>Risk</w:t>
            </w:r>
          </w:p>
        </w:tc>
      </w:tr>
      <w:tr>
        <w:tc>
          <w:tcPr>
            <w:tcW w:type="dxa" w:w="2160"/>
          </w:tcPr>
          <w:p>
            <w:pPr>
              <w:jc w:val="left"/>
            </w:pPr>
            <w:r>
              <w:rPr>
                <w:rFonts w:ascii="Arial" w:hAnsi="Arial" w:eastAsia="Arial"/>
              </w:rPr>
              <w:t>KPI</w:t>
            </w:r>
          </w:p>
        </w:tc>
        <w:tc>
          <w:tcPr>
            <w:tcW w:type="dxa" w:w="2160"/>
          </w:tcPr>
          <w:p>
            <w:pPr>
              <w:jc w:val="left"/>
            </w:pPr>
            <w:r>
              <w:rPr>
                <w:rFonts w:ascii="Arial" w:hAnsi="Arial" w:eastAsia="Arial"/>
              </w:rPr>
              <w:t>Target</w:t>
            </w:r>
          </w:p>
        </w:tc>
        <w:tc>
          <w:tcPr>
            <w:tcW w:type="dxa" w:w="2160"/>
          </w:tcPr>
          <w:p>
            <w:pPr>
              <w:jc w:val="left"/>
            </w:pPr>
            <w:r>
              <w:rPr>
                <w:rFonts w:ascii="Arial" w:hAnsi="Arial" w:eastAsia="Arial"/>
              </w:rPr>
              <w:t>Warning</w:t>
            </w:r>
          </w:p>
        </w:tc>
        <w:tc>
          <w:tcPr>
            <w:tcW w:type="dxa" w:w="2160"/>
          </w:tcPr>
          <w:p>
            <w:pPr>
              <w:jc w:val="left"/>
            </w:pPr>
            <w:r>
              <w:rPr>
                <w:rFonts w:ascii="Arial" w:hAnsi="Arial" w:eastAsia="Arial"/>
              </w:rPr>
              <w:t>Risk</w:t>
            </w:r>
          </w:p>
        </w:tc>
      </w:tr>
      <w:tr>
        <w:tc>
          <w:tcPr>
            <w:tcW w:type="dxa" w:w="2160"/>
          </w:tcPr>
          <w:p>
            <w:pPr>
              <w:jc w:val="left"/>
            </w:pPr>
            <w:r>
              <w:rPr>
                <w:rFonts w:ascii="Arial" w:hAnsi="Arial" w:eastAsia="Arial"/>
              </w:rPr>
              <w:t>Finishing Completion</w:t>
            </w:r>
          </w:p>
        </w:tc>
        <w:tc>
          <w:tcPr>
            <w:tcW w:type="dxa" w:w="2160"/>
          </w:tcPr>
          <w:p>
            <w:pPr>
              <w:jc w:val="left"/>
            </w:pPr>
            <w:r>
              <w:rPr>
                <w:rFonts w:ascii="Arial" w:hAnsi="Arial" w:eastAsia="Arial"/>
              </w:rPr>
              <w:t>&gt;80% by month 4</w:t>
            </w:r>
          </w:p>
        </w:tc>
        <w:tc>
          <w:tcPr>
            <w:tcW w:type="dxa" w:w="2160"/>
          </w:tcPr>
          <w:p>
            <w:pPr>
              <w:jc w:val="left"/>
            </w:pPr>
            <w:r>
              <w:rPr>
                <w:rFonts w:ascii="Arial" w:hAnsi="Arial" w:eastAsia="Arial"/>
              </w:rPr>
              <w:t>&lt;60%</w:t>
            </w:r>
          </w:p>
        </w:tc>
        <w:tc>
          <w:tcPr>
            <w:tcW w:type="dxa" w:w="2160"/>
          </w:tcPr>
          <w:p>
            <w:pPr>
              <w:jc w:val="left"/>
            </w:pPr>
            <w:r>
              <w:rPr>
                <w:rFonts w:ascii="Arial" w:hAnsi="Arial" w:eastAsia="Arial"/>
              </w:rPr>
              <w:t>Contractor delay</w:t>
            </w:r>
          </w:p>
        </w:tc>
      </w:tr>
      <w:tr>
        <w:tc>
          <w:tcPr>
            <w:tcW w:type="dxa" w:w="2160"/>
          </w:tcPr>
          <w:p>
            <w:pPr>
              <w:jc w:val="left"/>
            </w:pPr>
            <w:r>
              <w:rPr>
                <w:rFonts w:ascii="Arial" w:hAnsi="Arial" w:eastAsia="Arial"/>
              </w:rPr>
              <w:t>Unit Sales Rate</w:t>
            </w:r>
          </w:p>
        </w:tc>
        <w:tc>
          <w:tcPr>
            <w:tcW w:type="dxa" w:w="2160"/>
          </w:tcPr>
          <w:p>
            <w:pPr>
              <w:jc w:val="left"/>
            </w:pPr>
            <w:r>
              <w:rPr>
                <w:rFonts w:ascii="Arial" w:hAnsi="Arial" w:eastAsia="Arial"/>
              </w:rPr>
              <w:t>&gt;30% by month 2</w:t>
            </w:r>
          </w:p>
        </w:tc>
        <w:tc>
          <w:tcPr>
            <w:tcW w:type="dxa" w:w="2160"/>
          </w:tcPr>
          <w:p>
            <w:pPr>
              <w:jc w:val="left"/>
            </w:pPr>
            <w:r>
              <w:rPr>
                <w:rFonts w:ascii="Arial" w:hAnsi="Arial" w:eastAsia="Arial"/>
              </w:rPr>
              <w:t>&lt;10%</w:t>
            </w:r>
          </w:p>
        </w:tc>
        <w:tc>
          <w:tcPr>
            <w:tcW w:type="dxa" w:w="2160"/>
          </w:tcPr>
          <w:p>
            <w:pPr>
              <w:jc w:val="left"/>
            </w:pPr>
            <w:r>
              <w:rPr>
                <w:rFonts w:ascii="Arial" w:hAnsi="Arial" w:eastAsia="Arial"/>
              </w:rPr>
              <w:t>Weak demand</w:t>
            </w:r>
          </w:p>
        </w:tc>
      </w:tr>
      <w:tr>
        <w:tc>
          <w:tcPr>
            <w:tcW w:type="dxa" w:w="2160"/>
          </w:tcPr>
          <w:p>
            <w:pPr>
              <w:jc w:val="left"/>
            </w:pPr>
            <w:r>
              <w:rPr>
                <w:rFonts w:ascii="Arial" w:hAnsi="Arial" w:eastAsia="Arial"/>
              </w:rPr>
              <w:t>Finishing Cost vs Budget</w:t>
            </w:r>
          </w:p>
        </w:tc>
        <w:tc>
          <w:tcPr>
            <w:tcW w:type="dxa" w:w="2160"/>
          </w:tcPr>
          <w:p>
            <w:pPr>
              <w:jc w:val="left"/>
            </w:pPr>
            <w:r>
              <w:rPr>
                <w:rFonts w:ascii="Arial" w:hAnsi="Arial" w:eastAsia="Arial"/>
              </w:rPr>
              <w:t>&lt;105%</w:t>
            </w:r>
          </w:p>
        </w:tc>
        <w:tc>
          <w:tcPr>
            <w:tcW w:type="dxa" w:w="2160"/>
          </w:tcPr>
          <w:p>
            <w:pPr>
              <w:jc w:val="left"/>
            </w:pPr>
            <w:r>
              <w:rPr>
                <w:rFonts w:ascii="Arial" w:hAnsi="Arial" w:eastAsia="Arial"/>
              </w:rPr>
              <w:t>&gt;115%</w:t>
            </w:r>
          </w:p>
        </w:tc>
        <w:tc>
          <w:tcPr>
            <w:tcW w:type="dxa" w:w="2160"/>
          </w:tcPr>
          <w:p>
            <w:pPr>
              <w:jc w:val="left"/>
            </w:pPr>
            <w:r>
              <w:rPr>
                <w:rFonts w:ascii="Arial" w:hAnsi="Arial" w:eastAsia="Arial"/>
              </w:rPr>
              <w:t>Hidden defects</w:t>
            </w:r>
          </w:p>
        </w:tc>
      </w:tr>
      <w:tr>
        <w:tc>
          <w:tcPr>
            <w:tcW w:type="dxa" w:w="2160"/>
          </w:tcPr>
          <w:p>
            <w:pPr>
              <w:jc w:val="left"/>
            </w:pPr>
            <w:r>
              <w:rPr>
                <w:rFonts w:ascii="Arial" w:hAnsi="Arial" w:eastAsia="Arial"/>
              </w:rPr>
              <w:t>Customer NPS</w:t>
            </w:r>
          </w:p>
        </w:tc>
        <w:tc>
          <w:tcPr>
            <w:tcW w:type="dxa" w:w="2160"/>
          </w:tcPr>
          <w:p>
            <w:pPr>
              <w:jc w:val="left"/>
            </w:pPr>
            <w:r>
              <w:rPr>
                <w:rFonts w:ascii="Arial" w:hAnsi="Arial" w:eastAsia="Arial"/>
              </w:rPr>
              <w:t>&gt;50</w:t>
            </w:r>
          </w:p>
        </w:tc>
        <w:tc>
          <w:tcPr>
            <w:tcW w:type="dxa" w:w="2160"/>
          </w:tcPr>
          <w:p>
            <w:pPr>
              <w:jc w:val="left"/>
            </w:pPr>
            <w:r>
              <w:rPr>
                <w:rFonts w:ascii="Arial" w:hAnsi="Arial" w:eastAsia="Arial"/>
              </w:rPr>
              <w:t>&lt;30</w:t>
            </w:r>
          </w:p>
        </w:tc>
        <w:tc>
          <w:tcPr>
            <w:tcW w:type="dxa" w:w="2160"/>
          </w:tcPr>
          <w:p>
            <w:pPr>
              <w:jc w:val="left"/>
            </w:pPr>
            <w:r>
              <w:rPr>
                <w:rFonts w:ascii="Arial" w:hAnsi="Arial" w:eastAsia="Arial"/>
              </w:rPr>
              <w:t>Quality issues</w:t>
            </w:r>
          </w:p>
        </w:tc>
      </w:tr>
      <w:tr>
        <w:tc>
          <w:tcPr>
            <w:tcW w:type="dxa" w:w="2160"/>
          </w:tcPr>
          <w:p>
            <w:pPr>
              <w:jc w:val="left"/>
            </w:pPr>
            <w:r>
              <w:rPr>
                <w:rFonts w:ascii="Arial" w:hAnsi="Arial" w:eastAsia="Arial"/>
              </w:rPr>
              <w:t>Sales Duration</w:t>
            </w:r>
          </w:p>
        </w:tc>
        <w:tc>
          <w:tcPr>
            <w:tcW w:type="dxa" w:w="2160"/>
          </w:tcPr>
          <w:p>
            <w:pPr>
              <w:jc w:val="left"/>
            </w:pPr>
            <w:r>
              <w:rPr>
                <w:rFonts w:ascii="Arial" w:hAnsi="Arial" w:eastAsia="Arial"/>
              </w:rPr>
              <w:t>&lt;6 months</w:t>
            </w:r>
          </w:p>
        </w:tc>
        <w:tc>
          <w:tcPr>
            <w:tcW w:type="dxa" w:w="2160"/>
          </w:tcPr>
          <w:p>
            <w:pPr>
              <w:jc w:val="left"/>
            </w:pPr>
            <w:r>
              <w:rPr>
                <w:rFonts w:ascii="Arial" w:hAnsi="Arial" w:eastAsia="Arial"/>
              </w:rPr>
              <w:t>&gt;9 months</w:t>
            </w:r>
          </w:p>
        </w:tc>
        <w:tc>
          <w:tcPr>
            <w:tcW w:type="dxa" w:w="2160"/>
          </w:tcPr>
          <w:p>
            <w:pPr>
              <w:jc w:val="left"/>
            </w:pPr>
            <w:r>
              <w:rPr>
                <w:rFonts w:ascii="Arial" w:hAnsi="Arial" w:eastAsia="Arial"/>
              </w:rPr>
              <w:t>Market slowdown</w:t>
            </w:r>
          </w:p>
        </w:tc>
      </w:tr>
    </w:tbl>
    <w:p>
      <w:r>
        <w:br w:type="page"/>
      </w:r>
    </w:p>
    <w:p>
      <w:pPr>
        <w:pStyle w:val="Heading1"/>
        <w:jc w:val="left"/>
      </w:pPr>
      <w:r>
        <w:rPr>
          <w:rFonts w:ascii="Arial" w:hAnsi="Arial" w:eastAsia="Arial"/>
          <w:color w:val="003366"/>
        </w:rPr>
        <w:t>8. Financial Tables</w:t>
      </w:r>
    </w:p>
    <w:p>
      <w:pPr>
        <w:pStyle w:val="Heading2"/>
        <w:jc w:val="left"/>
      </w:pPr>
      <w:r>
        <w:rPr>
          <w:rFonts w:ascii="Arial" w:hAnsi="Arial" w:eastAsia="Arial"/>
          <w:color w:val="D4A853"/>
        </w:rPr>
        <w:t>8.1 Financial Model Assumptions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Assumption</w:t>
            </w:r>
          </w:p>
        </w:tc>
        <w:tc>
          <w:tcPr>
            <w:tcW w:type="dxa" w:w="4320"/>
            <w:shd w:fill="0A0F1A"/>
          </w:tcPr>
          <w:p>
            <w:pPr>
              <w:jc w:val="left"/>
            </w:pPr>
            <w:r>
              <w:rPr>
                <w:rFonts w:ascii="Arial" w:hAnsi="Arial" w:eastAsia="Arial"/>
                <w:b/>
                <w:color w:val="FFFFFF"/>
              </w:rPr>
              <w:t>Value</w:t>
            </w:r>
          </w:p>
        </w:tc>
      </w:tr>
      <w:tr>
        <w:tc>
          <w:tcPr>
            <w:tcW w:type="dxa" w:w="4320"/>
          </w:tcPr>
          <w:p>
            <w:pPr>
              <w:jc w:val="left"/>
            </w:pPr>
            <w:r>
              <w:rPr>
                <w:rFonts w:ascii="Arial" w:hAnsi="Arial" w:eastAsia="Arial"/>
              </w:rPr>
              <w:t>Assumption</w:t>
            </w:r>
          </w:p>
        </w:tc>
        <w:tc>
          <w:tcPr>
            <w:tcW w:type="dxa" w:w="4320"/>
          </w:tcPr>
          <w:p>
            <w:pPr>
              <w:jc w:val="left"/>
            </w:pPr>
            <w:r>
              <w:rPr>
                <w:rFonts w:ascii="Arial" w:hAnsi="Arial" w:eastAsia="Arial"/>
              </w:rPr>
              <w:t>Value</w:t>
            </w:r>
          </w:p>
        </w:tc>
      </w:tr>
      <w:tr>
        <w:tc>
          <w:tcPr>
            <w:tcW w:type="dxa" w:w="4320"/>
          </w:tcPr>
          <w:p>
            <w:pPr>
              <w:jc w:val="left"/>
            </w:pPr>
            <w:r>
              <w:rPr>
                <w:rFonts w:ascii="Arial" w:hAnsi="Arial" w:eastAsia="Arial"/>
              </w:rPr>
              <w:t>Average Building Area</w:t>
            </w:r>
          </w:p>
        </w:tc>
        <w:tc>
          <w:tcPr>
            <w:tcW w:type="dxa" w:w="4320"/>
          </w:tcPr>
          <w:p>
            <w:pPr>
              <w:jc w:val="left"/>
            </w:pPr>
            <w:r>
              <w:rPr>
                <w:rFonts w:ascii="Arial" w:hAnsi="Arial" w:eastAsia="Arial"/>
              </w:rPr>
              <w:t>1,500 m²</w:t>
            </w:r>
          </w:p>
        </w:tc>
      </w:tr>
      <w:tr>
        <w:tc>
          <w:tcPr>
            <w:tcW w:type="dxa" w:w="4320"/>
          </w:tcPr>
          <w:p>
            <w:pPr>
              <w:jc w:val="left"/>
            </w:pPr>
            <w:r>
              <w:rPr>
                <w:rFonts w:ascii="Arial" w:hAnsi="Arial" w:eastAsia="Arial"/>
              </w:rPr>
              <w:t>Units per Building</w:t>
            </w:r>
          </w:p>
        </w:tc>
        <w:tc>
          <w:tcPr>
            <w:tcW w:type="dxa" w:w="4320"/>
          </w:tcPr>
          <w:p>
            <w:pPr>
              <w:jc w:val="left"/>
            </w:pPr>
            <w:r>
              <w:rPr>
                <w:rFonts w:ascii="Arial" w:hAnsi="Arial" w:eastAsia="Arial"/>
              </w:rPr>
              <w:t>6 - 8 units</w:t>
            </w:r>
          </w:p>
        </w:tc>
      </w:tr>
      <w:tr>
        <w:tc>
          <w:tcPr>
            <w:tcW w:type="dxa" w:w="4320"/>
          </w:tcPr>
          <w:p>
            <w:pPr>
              <w:jc w:val="left"/>
            </w:pPr>
            <w:r>
              <w:rPr>
                <w:rFonts w:ascii="Arial" w:hAnsi="Arial" w:eastAsia="Arial"/>
              </w:rPr>
              <w:t>Finishing Cost</w:t>
            </w:r>
          </w:p>
        </w:tc>
        <w:tc>
          <w:tcPr>
            <w:tcW w:type="dxa" w:w="4320"/>
          </w:tcPr>
          <w:p>
            <w:pPr>
              <w:jc w:val="left"/>
            </w:pPr>
            <w:r>
              <w:rPr>
                <w:rFonts w:ascii="Arial" w:hAnsi="Arial" w:eastAsia="Arial"/>
              </w:rPr>
              <w:t>SAR 1,200 - 1,800 per m²</w:t>
            </w:r>
          </w:p>
        </w:tc>
      </w:tr>
      <w:tr>
        <w:tc>
          <w:tcPr>
            <w:tcW w:type="dxa" w:w="4320"/>
          </w:tcPr>
          <w:p>
            <w:pPr>
              <w:jc w:val="left"/>
            </w:pPr>
            <w:r>
              <w:rPr>
                <w:rFonts w:ascii="Arial" w:hAnsi="Arial" w:eastAsia="Arial"/>
              </w:rPr>
              <w:t>Selling Price</w:t>
            </w:r>
          </w:p>
        </w:tc>
        <w:tc>
          <w:tcPr>
            <w:tcW w:type="dxa" w:w="4320"/>
          </w:tcPr>
          <w:p>
            <w:pPr>
              <w:jc w:val="left"/>
            </w:pPr>
            <w:r>
              <w:rPr>
                <w:rFonts w:ascii="Arial" w:hAnsi="Arial" w:eastAsia="Arial"/>
              </w:rPr>
              <w:t>SAR 2,500 - 3,500 per m²</w:t>
            </w:r>
          </w:p>
        </w:tc>
      </w:tr>
      <w:tr>
        <w:tc>
          <w:tcPr>
            <w:tcW w:type="dxa" w:w="4320"/>
          </w:tcPr>
          <w:p>
            <w:pPr>
              <w:jc w:val="left"/>
            </w:pPr>
            <w:r>
              <w:rPr>
                <w:rFonts w:ascii="Arial" w:hAnsi="Arial" w:eastAsia="Arial"/>
              </w:rPr>
              <w:t>Company Muhassah Share</w:t>
            </w:r>
          </w:p>
        </w:tc>
        <w:tc>
          <w:tcPr>
            <w:tcW w:type="dxa" w:w="4320"/>
          </w:tcPr>
          <w:p>
            <w:pPr>
              <w:jc w:val="left"/>
            </w:pPr>
            <w:r>
              <w:rPr>
                <w:rFonts w:ascii="Arial" w:hAnsi="Arial" w:eastAsia="Arial"/>
              </w:rPr>
              <w:t>50%</w:t>
            </w:r>
          </w:p>
        </w:tc>
      </w:tr>
    </w:tbl>
    <w:p>
      <w:pPr>
        <w:pStyle w:val="Heading2"/>
        <w:jc w:val="left"/>
      </w:pPr>
      <w:r>
        <w:rPr>
          <w:rFonts w:ascii="Arial" w:hAnsi="Arial" w:eastAsia="Arial"/>
          <w:color w:val="D4A853"/>
        </w:rPr>
        <w:t>8.2 Estimated Cost per Project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Item</w:t>
            </w:r>
          </w:p>
        </w:tc>
        <w:tc>
          <w:tcPr>
            <w:tcW w:type="dxa" w:w="2880"/>
            <w:shd w:fill="0A0F1A"/>
          </w:tcPr>
          <w:p>
            <w:pPr>
              <w:jc w:val="left"/>
            </w:pPr>
            <w:r>
              <w:rPr>
                <w:rFonts w:ascii="Arial" w:hAnsi="Arial" w:eastAsia="Arial"/>
                <w:b/>
                <w:color w:val="FFFFFF"/>
              </w:rPr>
              <w:t>Cost</w:t>
            </w:r>
          </w:p>
        </w:tc>
        <w:tc>
          <w:tcPr>
            <w:tcW w:type="dxa" w:w="2880"/>
            <w:shd w:fill="0A0F1A"/>
          </w:tcPr>
          <w:p>
            <w:pPr>
              <w:jc w:val="left"/>
            </w:pPr>
            <w:r>
              <w:rPr>
                <w:rFonts w:ascii="Arial" w:hAnsi="Arial" w:eastAsia="Arial"/>
                <w:b/>
                <w:color w:val="FFFFFF"/>
              </w:rPr>
              <w:t>Share</w:t>
            </w:r>
          </w:p>
        </w:tc>
      </w:tr>
      <w:tr>
        <w:tc>
          <w:tcPr>
            <w:tcW w:type="dxa" w:w="2880"/>
          </w:tcPr>
          <w:p>
            <w:pPr>
              <w:jc w:val="left"/>
            </w:pPr>
            <w:r>
              <w:rPr>
                <w:rFonts w:ascii="Arial" w:hAnsi="Arial" w:eastAsia="Arial"/>
              </w:rPr>
              <w:t>Item</w:t>
            </w:r>
          </w:p>
        </w:tc>
        <w:tc>
          <w:tcPr>
            <w:tcW w:type="dxa" w:w="2880"/>
          </w:tcPr>
          <w:p>
            <w:pPr>
              <w:jc w:val="left"/>
            </w:pPr>
            <w:r>
              <w:rPr>
                <w:rFonts w:ascii="Arial" w:hAnsi="Arial" w:eastAsia="Arial"/>
              </w:rPr>
              <w:t>Cost (SAR)</w:t>
            </w:r>
          </w:p>
        </w:tc>
        <w:tc>
          <w:tcPr>
            <w:tcW w:type="dxa" w:w="2880"/>
          </w:tcPr>
          <w:p>
            <w:pPr>
              <w:jc w:val="left"/>
            </w:pPr>
            <w:r>
              <w:rPr>
                <w:rFonts w:ascii="Arial" w:hAnsi="Arial" w:eastAsia="Arial"/>
              </w:rPr>
              <w:t>Percentage</w:t>
            </w:r>
          </w:p>
        </w:tc>
      </w:tr>
      <w:tr>
        <w:tc>
          <w:tcPr>
            <w:tcW w:type="dxa" w:w="2880"/>
          </w:tcPr>
          <w:p>
            <w:pPr>
              <w:jc w:val="left"/>
            </w:pPr>
            <w:r>
              <w:rPr>
                <w:rFonts w:ascii="Arial" w:hAnsi="Arial" w:eastAsia="Arial"/>
              </w:rPr>
              <w:t>Finishing Costs</w:t>
            </w:r>
          </w:p>
        </w:tc>
        <w:tc>
          <w:tcPr>
            <w:tcW w:type="dxa" w:w="2880"/>
          </w:tcPr>
          <w:p>
            <w:pPr>
              <w:jc w:val="left"/>
            </w:pPr>
            <w:r>
              <w:rPr>
                <w:rFonts w:ascii="Arial" w:hAnsi="Arial" w:eastAsia="Arial"/>
              </w:rPr>
              <w:t>2,250,000</w:t>
            </w:r>
          </w:p>
        </w:tc>
        <w:tc>
          <w:tcPr>
            <w:tcW w:type="dxa" w:w="2880"/>
          </w:tcPr>
          <w:p>
            <w:pPr>
              <w:jc w:val="left"/>
            </w:pPr>
            <w:r>
              <w:rPr>
                <w:rFonts w:ascii="Arial" w:hAnsi="Arial" w:eastAsia="Arial"/>
              </w:rPr>
              <w:t>55%</w:t>
            </w:r>
          </w:p>
        </w:tc>
      </w:tr>
      <w:tr>
        <w:tc>
          <w:tcPr>
            <w:tcW w:type="dxa" w:w="2880"/>
          </w:tcPr>
          <w:p>
            <w:pPr>
              <w:jc w:val="left"/>
            </w:pPr>
            <w:r>
              <w:rPr>
                <w:rFonts w:ascii="Arial" w:hAnsi="Arial" w:eastAsia="Arial"/>
              </w:rPr>
              <w:t>Licenses and Fees</w:t>
            </w:r>
          </w:p>
        </w:tc>
        <w:tc>
          <w:tcPr>
            <w:tcW w:type="dxa" w:w="2880"/>
          </w:tcPr>
          <w:p>
            <w:pPr>
              <w:jc w:val="left"/>
            </w:pPr>
            <w:r>
              <w:rPr>
                <w:rFonts w:ascii="Arial" w:hAnsi="Arial" w:eastAsia="Arial"/>
              </w:rPr>
              <w:t>150,000</w:t>
            </w:r>
          </w:p>
        </w:tc>
        <w:tc>
          <w:tcPr>
            <w:tcW w:type="dxa" w:w="2880"/>
          </w:tcPr>
          <w:p>
            <w:pPr>
              <w:jc w:val="left"/>
            </w:pPr>
            <w:r>
              <w:rPr>
                <w:rFonts w:ascii="Arial" w:hAnsi="Arial" w:eastAsia="Arial"/>
              </w:rPr>
              <w:t>4%</w:t>
            </w:r>
          </w:p>
        </w:tc>
      </w:tr>
      <w:tr>
        <w:tc>
          <w:tcPr>
            <w:tcW w:type="dxa" w:w="2880"/>
          </w:tcPr>
          <w:p>
            <w:pPr>
              <w:jc w:val="left"/>
            </w:pPr>
            <w:r>
              <w:rPr>
                <w:rFonts w:ascii="Arial" w:hAnsi="Arial" w:eastAsia="Arial"/>
              </w:rPr>
              <w:t>Engineering Consultation</w:t>
            </w:r>
          </w:p>
        </w:tc>
        <w:tc>
          <w:tcPr>
            <w:tcW w:type="dxa" w:w="2880"/>
          </w:tcPr>
          <w:p>
            <w:pPr>
              <w:jc w:val="left"/>
            </w:pPr>
            <w:r>
              <w:rPr>
                <w:rFonts w:ascii="Arial" w:hAnsi="Arial" w:eastAsia="Arial"/>
              </w:rPr>
              <w:t>200,000</w:t>
            </w:r>
          </w:p>
        </w:tc>
        <w:tc>
          <w:tcPr>
            <w:tcW w:type="dxa" w:w="2880"/>
          </w:tcPr>
          <w:p>
            <w:pPr>
              <w:jc w:val="left"/>
            </w:pPr>
            <w:r>
              <w:rPr>
                <w:rFonts w:ascii="Arial" w:hAnsi="Arial" w:eastAsia="Arial"/>
              </w:rPr>
              <w:t>5%</w:t>
            </w:r>
          </w:p>
        </w:tc>
      </w:tr>
      <w:tr>
        <w:tc>
          <w:tcPr>
            <w:tcW w:type="dxa" w:w="2880"/>
          </w:tcPr>
          <w:p>
            <w:pPr>
              <w:jc w:val="left"/>
            </w:pPr>
            <w:r>
              <w:rPr>
                <w:rFonts w:ascii="Arial" w:hAnsi="Arial" w:eastAsia="Arial"/>
              </w:rPr>
              <w:t>Marketing and Sales</w:t>
            </w:r>
          </w:p>
        </w:tc>
        <w:tc>
          <w:tcPr>
            <w:tcW w:type="dxa" w:w="2880"/>
          </w:tcPr>
          <w:p>
            <w:pPr>
              <w:jc w:val="left"/>
            </w:pPr>
            <w:r>
              <w:rPr>
                <w:rFonts w:ascii="Arial" w:hAnsi="Arial" w:eastAsia="Arial"/>
              </w:rPr>
              <w:t>300,000</w:t>
            </w:r>
          </w:p>
        </w:tc>
        <w:tc>
          <w:tcPr>
            <w:tcW w:type="dxa" w:w="2880"/>
          </w:tcPr>
          <w:p>
            <w:pPr>
              <w:jc w:val="left"/>
            </w:pPr>
            <w:r>
              <w:rPr>
                <w:rFonts w:ascii="Arial" w:hAnsi="Arial" w:eastAsia="Arial"/>
              </w:rPr>
              <w:t>7%</w:t>
            </w:r>
          </w:p>
        </w:tc>
      </w:tr>
      <w:tr>
        <w:tc>
          <w:tcPr>
            <w:tcW w:type="dxa" w:w="2880"/>
          </w:tcPr>
          <w:p>
            <w:pPr>
              <w:jc w:val="left"/>
            </w:pPr>
            <w:r>
              <w:rPr>
                <w:rFonts w:ascii="Arial" w:hAnsi="Arial" w:eastAsia="Arial"/>
              </w:rPr>
              <w:t>Risk Reserve (15%)</w:t>
            </w:r>
          </w:p>
        </w:tc>
        <w:tc>
          <w:tcPr>
            <w:tcW w:type="dxa" w:w="2880"/>
          </w:tcPr>
          <w:p>
            <w:pPr>
              <w:jc w:val="left"/>
            </w:pPr>
            <w:r>
              <w:rPr>
                <w:rFonts w:ascii="Arial" w:hAnsi="Arial" w:eastAsia="Arial"/>
              </w:rPr>
              <w:t>450,000</w:t>
            </w:r>
          </w:p>
        </w:tc>
        <w:tc>
          <w:tcPr>
            <w:tcW w:type="dxa" w:w="2880"/>
          </w:tcPr>
          <w:p>
            <w:pPr>
              <w:jc w:val="left"/>
            </w:pPr>
            <w:r>
              <w:rPr>
                <w:rFonts w:ascii="Arial" w:hAnsi="Arial" w:eastAsia="Arial"/>
              </w:rPr>
              <w:t>11%</w:t>
            </w:r>
          </w:p>
        </w:tc>
      </w:tr>
      <w:tr>
        <w:tc>
          <w:tcPr>
            <w:tcW w:type="dxa" w:w="2880"/>
          </w:tcPr>
          <w:p>
            <w:pPr>
              <w:jc w:val="left"/>
            </w:pPr>
            <w:r>
              <w:rPr>
                <w:rFonts w:ascii="Arial" w:hAnsi="Arial" w:eastAsia="Arial"/>
              </w:rPr>
              <w:t>Operational Costs</w:t>
            </w:r>
          </w:p>
        </w:tc>
        <w:tc>
          <w:tcPr>
            <w:tcW w:type="dxa" w:w="2880"/>
          </w:tcPr>
          <w:p>
            <w:pPr>
              <w:jc w:val="left"/>
            </w:pPr>
            <w:r>
              <w:rPr>
                <w:rFonts w:ascii="Arial" w:hAnsi="Arial" w:eastAsia="Arial"/>
              </w:rPr>
              <w:t>250,000</w:t>
            </w:r>
          </w:p>
        </w:tc>
        <w:tc>
          <w:tcPr>
            <w:tcW w:type="dxa" w:w="2880"/>
          </w:tcPr>
          <w:p>
            <w:pPr>
              <w:jc w:val="left"/>
            </w:pPr>
            <w:r>
              <w:rPr>
                <w:rFonts w:ascii="Arial" w:hAnsi="Arial" w:eastAsia="Arial"/>
              </w:rPr>
              <w:t>6%</w:t>
            </w:r>
          </w:p>
        </w:tc>
      </w:tr>
      <w:tr>
        <w:tc>
          <w:tcPr>
            <w:tcW w:type="dxa" w:w="2880"/>
          </w:tcPr>
          <w:p>
            <w:pPr>
              <w:jc w:val="left"/>
            </w:pPr>
            <w:r>
              <w:rPr>
                <w:rFonts w:ascii="Arial" w:hAnsi="Arial" w:eastAsia="Arial"/>
              </w:rPr>
              <w:t>Financial Costs</w:t>
            </w:r>
          </w:p>
        </w:tc>
        <w:tc>
          <w:tcPr>
            <w:tcW w:type="dxa" w:w="2880"/>
          </w:tcPr>
          <w:p>
            <w:pPr>
              <w:jc w:val="left"/>
            </w:pPr>
            <w:r>
              <w:rPr>
                <w:rFonts w:ascii="Arial" w:hAnsi="Arial" w:eastAsia="Arial"/>
              </w:rPr>
              <w:t>200,000</w:t>
            </w:r>
          </w:p>
        </w:tc>
        <w:tc>
          <w:tcPr>
            <w:tcW w:type="dxa" w:w="2880"/>
          </w:tcPr>
          <w:p>
            <w:pPr>
              <w:jc w:val="left"/>
            </w:pPr>
            <w:r>
              <w:rPr>
                <w:rFonts w:ascii="Arial" w:hAnsi="Arial" w:eastAsia="Arial"/>
              </w:rPr>
              <w:t>5%</w:t>
            </w:r>
          </w:p>
        </w:tc>
      </w:tr>
      <w:tr>
        <w:tc>
          <w:tcPr>
            <w:tcW w:type="dxa" w:w="2880"/>
          </w:tcPr>
          <w:p>
            <w:pPr>
              <w:jc w:val="left"/>
            </w:pPr>
            <w:r>
              <w:rPr>
                <w:rFonts w:ascii="Arial" w:hAnsi="Arial" w:eastAsia="Arial"/>
              </w:rPr>
              <w:t>Sales and Transfer Fees</w:t>
            </w:r>
          </w:p>
        </w:tc>
        <w:tc>
          <w:tcPr>
            <w:tcW w:type="dxa" w:w="2880"/>
          </w:tcPr>
          <w:p>
            <w:pPr>
              <w:jc w:val="left"/>
            </w:pPr>
            <w:r>
              <w:rPr>
                <w:rFonts w:ascii="Arial" w:hAnsi="Arial" w:eastAsia="Arial"/>
              </w:rPr>
              <w:t>375,000</w:t>
            </w:r>
          </w:p>
        </w:tc>
        <w:tc>
          <w:tcPr>
            <w:tcW w:type="dxa" w:w="2880"/>
          </w:tcPr>
          <w:p>
            <w:pPr>
              <w:jc w:val="left"/>
            </w:pPr>
            <w:r>
              <w:rPr>
                <w:rFonts w:ascii="Arial" w:hAnsi="Arial" w:eastAsia="Arial"/>
              </w:rPr>
              <w:t>9%</w:t>
            </w:r>
          </w:p>
        </w:tc>
      </w:tr>
      <w:tr>
        <w:tc>
          <w:tcPr>
            <w:tcW w:type="dxa" w:w="2880"/>
          </w:tcPr>
          <w:p>
            <w:pPr>
              <w:jc w:val="left"/>
            </w:pPr>
            <w:r>
              <w:rPr>
                <w:rFonts w:ascii="Arial" w:hAnsi="Arial" w:eastAsia="Arial"/>
              </w:rPr>
              <w:t>Total</w:t>
            </w:r>
          </w:p>
        </w:tc>
        <w:tc>
          <w:tcPr>
            <w:tcW w:type="dxa" w:w="2880"/>
          </w:tcPr>
          <w:p>
            <w:pPr>
              <w:jc w:val="left"/>
            </w:pPr>
            <w:r>
              <w:rPr>
                <w:rFonts w:ascii="Arial" w:hAnsi="Arial" w:eastAsia="Arial"/>
              </w:rPr>
              <w:t>4,175,000</w:t>
            </w:r>
          </w:p>
        </w:tc>
        <w:tc>
          <w:tcPr>
            <w:tcW w:type="dxa" w:w="2880"/>
          </w:tcPr>
          <w:p>
            <w:pPr>
              <w:jc w:val="left"/>
            </w:pPr>
            <w:r>
              <w:rPr>
                <w:rFonts w:ascii="Arial" w:hAnsi="Arial" w:eastAsia="Arial"/>
              </w:rPr>
              <w:t>100%</w:t>
            </w:r>
          </w:p>
        </w:tc>
      </w:tr>
    </w:tbl>
    <w:p>
      <w:pPr>
        <w:pStyle w:val="Heading2"/>
        <w:jc w:val="left"/>
      </w:pPr>
      <w:r>
        <w:rPr>
          <w:rFonts w:ascii="Arial" w:hAnsi="Arial" w:eastAsia="Arial"/>
          <w:color w:val="D4A853"/>
        </w:rPr>
        <w:t>8.3 Five-Year Income Statement (Hybrid Model)</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A0F1A"/>
          </w:tcPr>
          <w:p>
            <w:pPr>
              <w:jc w:val="left"/>
            </w:pPr>
            <w:r>
              <w:rPr>
                <w:rFonts w:ascii="Arial" w:hAnsi="Arial" w:eastAsia="Arial"/>
                <w:b/>
                <w:color w:val="FFFFFF"/>
              </w:rPr>
              <w:t>Item</w:t>
            </w:r>
          </w:p>
        </w:tc>
        <w:tc>
          <w:tcPr>
            <w:tcW w:type="dxa" w:w="1440"/>
            <w:shd w:fill="0A0F1A"/>
          </w:tcPr>
          <w:p>
            <w:pPr>
              <w:jc w:val="left"/>
            </w:pPr>
            <w:r>
              <w:rPr>
                <w:rFonts w:ascii="Arial" w:hAnsi="Arial" w:eastAsia="Arial"/>
                <w:b/>
                <w:color w:val="FFFFFF"/>
              </w:rPr>
              <w:t>Y1</w:t>
            </w:r>
          </w:p>
        </w:tc>
        <w:tc>
          <w:tcPr>
            <w:tcW w:type="dxa" w:w="1440"/>
            <w:shd w:fill="0A0F1A"/>
          </w:tcPr>
          <w:p>
            <w:pPr>
              <w:jc w:val="left"/>
            </w:pPr>
            <w:r>
              <w:rPr>
                <w:rFonts w:ascii="Arial" w:hAnsi="Arial" w:eastAsia="Arial"/>
                <w:b/>
                <w:color w:val="FFFFFF"/>
              </w:rPr>
              <w:t>Y2</w:t>
            </w:r>
          </w:p>
        </w:tc>
        <w:tc>
          <w:tcPr>
            <w:tcW w:type="dxa" w:w="1440"/>
            <w:shd w:fill="0A0F1A"/>
          </w:tcPr>
          <w:p>
            <w:pPr>
              <w:jc w:val="left"/>
            </w:pPr>
            <w:r>
              <w:rPr>
                <w:rFonts w:ascii="Arial" w:hAnsi="Arial" w:eastAsia="Arial"/>
                <w:b/>
                <w:color w:val="FFFFFF"/>
              </w:rPr>
              <w:t>Y3</w:t>
            </w:r>
          </w:p>
        </w:tc>
        <w:tc>
          <w:tcPr>
            <w:tcW w:type="dxa" w:w="1440"/>
            <w:shd w:fill="0A0F1A"/>
          </w:tcPr>
          <w:p>
            <w:pPr>
              <w:jc w:val="left"/>
            </w:pPr>
            <w:r>
              <w:rPr>
                <w:rFonts w:ascii="Arial" w:hAnsi="Arial" w:eastAsia="Arial"/>
                <w:b/>
                <w:color w:val="FFFFFF"/>
              </w:rPr>
              <w:t>Y4</w:t>
            </w:r>
          </w:p>
        </w:tc>
        <w:tc>
          <w:tcPr>
            <w:tcW w:type="dxa" w:w="1440"/>
            <w:shd w:fill="0A0F1A"/>
          </w:tcPr>
          <w:p>
            <w:pPr>
              <w:jc w:val="left"/>
            </w:pPr>
            <w:r>
              <w:rPr>
                <w:rFonts w:ascii="Arial" w:hAnsi="Arial" w:eastAsia="Arial"/>
                <w:b/>
                <w:color w:val="FFFFFF"/>
              </w:rPr>
              <w:t>Y5</w:t>
            </w:r>
          </w:p>
        </w:tc>
      </w:tr>
      <w:tr>
        <w:tc>
          <w:tcPr>
            <w:tcW w:type="dxa" w:w="1440"/>
          </w:tcPr>
          <w:p>
            <w:pPr>
              <w:jc w:val="left"/>
            </w:pPr>
            <w:r>
              <w:rPr>
                <w:rFonts w:ascii="Arial" w:hAnsi="Arial" w:eastAsia="Arial"/>
              </w:rPr>
              <w:t>Item</w:t>
            </w:r>
          </w:p>
        </w:tc>
        <w:tc>
          <w:tcPr>
            <w:tcW w:type="dxa" w:w="1440"/>
          </w:tcPr>
          <w:p>
            <w:pPr>
              <w:jc w:val="left"/>
            </w:pPr>
            <w:r>
              <w:rPr>
                <w:rFonts w:ascii="Arial" w:hAnsi="Arial" w:eastAsia="Arial"/>
              </w:rPr>
              <w:t>Year 1</w:t>
            </w:r>
          </w:p>
        </w:tc>
        <w:tc>
          <w:tcPr>
            <w:tcW w:type="dxa" w:w="1440"/>
          </w:tcPr>
          <w:p>
            <w:pPr>
              <w:jc w:val="left"/>
            </w:pPr>
            <w:r>
              <w:rPr>
                <w:rFonts w:ascii="Arial" w:hAnsi="Arial" w:eastAsia="Arial"/>
              </w:rPr>
              <w:t>Year 2</w:t>
            </w:r>
          </w:p>
        </w:tc>
        <w:tc>
          <w:tcPr>
            <w:tcW w:type="dxa" w:w="1440"/>
          </w:tcPr>
          <w:p>
            <w:pPr>
              <w:jc w:val="left"/>
            </w:pPr>
            <w:r>
              <w:rPr>
                <w:rFonts w:ascii="Arial" w:hAnsi="Arial" w:eastAsia="Arial"/>
              </w:rPr>
              <w:t>Year 3</w:t>
            </w:r>
          </w:p>
        </w:tc>
        <w:tc>
          <w:tcPr>
            <w:tcW w:type="dxa" w:w="1440"/>
          </w:tcPr>
          <w:p>
            <w:pPr>
              <w:jc w:val="left"/>
            </w:pPr>
            <w:r>
              <w:rPr>
                <w:rFonts w:ascii="Arial" w:hAnsi="Arial" w:eastAsia="Arial"/>
              </w:rPr>
              <w:t>Year 4</w:t>
            </w:r>
          </w:p>
        </w:tc>
        <w:tc>
          <w:tcPr>
            <w:tcW w:type="dxa" w:w="1440"/>
          </w:tcPr>
          <w:p>
            <w:pPr>
              <w:jc w:val="left"/>
            </w:pPr>
            <w:r>
              <w:rPr>
                <w:rFonts w:ascii="Arial" w:hAnsi="Arial" w:eastAsia="Arial"/>
              </w:rPr>
              <w:t>Year 5</w:t>
            </w:r>
          </w:p>
        </w:tc>
      </w:tr>
      <w:tr>
        <w:tc>
          <w:tcPr>
            <w:tcW w:type="dxa" w:w="1440"/>
          </w:tcPr>
          <w:p>
            <w:pPr>
              <w:jc w:val="left"/>
            </w:pPr>
            <w:r>
              <w:rPr>
                <w:rFonts w:ascii="Arial" w:hAnsi="Arial" w:eastAsia="Arial"/>
              </w:rPr>
              <w:t>Total Revenue (SAR million)</w:t>
            </w:r>
          </w:p>
        </w:tc>
        <w:tc>
          <w:tcPr>
            <w:tcW w:type="dxa" w:w="1440"/>
          </w:tcPr>
          <w:p>
            <w:pPr>
              <w:jc w:val="left"/>
            </w:pPr>
            <w:r>
              <w:rPr>
                <w:rFonts w:ascii="Arial" w:hAnsi="Arial" w:eastAsia="Arial"/>
              </w:rPr>
              <w:t>3.2</w:t>
            </w:r>
          </w:p>
        </w:tc>
        <w:tc>
          <w:tcPr>
            <w:tcW w:type="dxa" w:w="1440"/>
          </w:tcPr>
          <w:p>
            <w:pPr>
              <w:jc w:val="left"/>
            </w:pPr>
            <w:r>
              <w:rPr>
                <w:rFonts w:ascii="Arial" w:hAnsi="Arial" w:eastAsia="Arial"/>
              </w:rPr>
              <w:t>6.4</w:t>
            </w:r>
          </w:p>
        </w:tc>
        <w:tc>
          <w:tcPr>
            <w:tcW w:type="dxa" w:w="1440"/>
          </w:tcPr>
          <w:p>
            <w:pPr>
              <w:jc w:val="left"/>
            </w:pPr>
            <w:r>
              <w:rPr>
                <w:rFonts w:ascii="Arial" w:hAnsi="Arial" w:eastAsia="Arial"/>
              </w:rPr>
              <w:t>9.6</w:t>
            </w:r>
          </w:p>
        </w:tc>
        <w:tc>
          <w:tcPr>
            <w:tcW w:type="dxa" w:w="1440"/>
          </w:tcPr>
          <w:p>
            <w:pPr>
              <w:jc w:val="left"/>
            </w:pPr>
            <w:r>
              <w:rPr>
                <w:rFonts w:ascii="Arial" w:hAnsi="Arial" w:eastAsia="Arial"/>
              </w:rPr>
              <w:t>12.8</w:t>
            </w:r>
          </w:p>
        </w:tc>
        <w:tc>
          <w:tcPr>
            <w:tcW w:type="dxa" w:w="1440"/>
          </w:tcPr>
          <w:p>
            <w:pPr>
              <w:jc w:val="left"/>
            </w:pPr>
            <w:r>
              <w:rPr>
                <w:rFonts w:ascii="Arial" w:hAnsi="Arial" w:eastAsia="Arial"/>
              </w:rPr>
              <w:t>16.0</w:t>
            </w:r>
          </w:p>
        </w:tc>
      </w:tr>
      <w:tr>
        <w:tc>
          <w:tcPr>
            <w:tcW w:type="dxa" w:w="1440"/>
          </w:tcPr>
          <w:p>
            <w:pPr>
              <w:jc w:val="left"/>
            </w:pPr>
            <w:r>
              <w:rPr>
                <w:rFonts w:ascii="Arial" w:hAnsi="Arial" w:eastAsia="Arial"/>
              </w:rPr>
              <w:t>Direct Costs</w:t>
            </w:r>
          </w:p>
        </w:tc>
        <w:tc>
          <w:tcPr>
            <w:tcW w:type="dxa" w:w="1440"/>
          </w:tcPr>
          <w:p>
            <w:pPr>
              <w:jc w:val="left"/>
            </w:pPr>
            <w:r>
              <w:rPr>
                <w:rFonts w:ascii="Arial" w:hAnsi="Arial" w:eastAsia="Arial"/>
              </w:rPr>
              <w:t>-0.4</w:t>
            </w:r>
          </w:p>
        </w:tc>
        <w:tc>
          <w:tcPr>
            <w:tcW w:type="dxa" w:w="1440"/>
          </w:tcPr>
          <w:p>
            <w:pPr>
              <w:jc w:val="left"/>
            </w:pPr>
            <w:r>
              <w:rPr>
                <w:rFonts w:ascii="Arial" w:hAnsi="Arial" w:eastAsia="Arial"/>
              </w:rPr>
              <w:t>-0.8</w:t>
            </w:r>
          </w:p>
        </w:tc>
        <w:tc>
          <w:tcPr>
            <w:tcW w:type="dxa" w:w="1440"/>
          </w:tcPr>
          <w:p>
            <w:pPr>
              <w:jc w:val="left"/>
            </w:pPr>
            <w:r>
              <w:rPr>
                <w:rFonts w:ascii="Arial" w:hAnsi="Arial" w:eastAsia="Arial"/>
              </w:rPr>
              <w:t>-1.2</w:t>
            </w:r>
          </w:p>
        </w:tc>
        <w:tc>
          <w:tcPr>
            <w:tcW w:type="dxa" w:w="1440"/>
          </w:tcPr>
          <w:p>
            <w:pPr>
              <w:jc w:val="left"/>
            </w:pPr>
            <w:r>
              <w:rPr>
                <w:rFonts w:ascii="Arial" w:hAnsi="Arial" w:eastAsia="Arial"/>
              </w:rPr>
              <w:t>-1.6</w:t>
            </w:r>
          </w:p>
        </w:tc>
        <w:tc>
          <w:tcPr>
            <w:tcW w:type="dxa" w:w="1440"/>
          </w:tcPr>
          <w:p>
            <w:pPr>
              <w:jc w:val="left"/>
            </w:pPr>
            <w:r>
              <w:rPr>
                <w:rFonts w:ascii="Arial" w:hAnsi="Arial" w:eastAsia="Arial"/>
              </w:rPr>
              <w:t>-2.0</w:t>
            </w:r>
          </w:p>
        </w:tc>
      </w:tr>
      <w:tr>
        <w:tc>
          <w:tcPr>
            <w:tcW w:type="dxa" w:w="1440"/>
          </w:tcPr>
          <w:p>
            <w:pPr>
              <w:jc w:val="left"/>
            </w:pPr>
            <w:r>
              <w:rPr>
                <w:rFonts w:ascii="Arial" w:hAnsi="Arial" w:eastAsia="Arial"/>
              </w:rPr>
              <w:t>G&amp;A Costs</w:t>
            </w:r>
          </w:p>
        </w:tc>
        <w:tc>
          <w:tcPr>
            <w:tcW w:type="dxa" w:w="1440"/>
          </w:tcPr>
          <w:p>
            <w:pPr>
              <w:jc w:val="left"/>
            </w:pPr>
            <w:r>
              <w:rPr>
                <w:rFonts w:ascii="Arial" w:hAnsi="Arial" w:eastAsia="Arial"/>
              </w:rPr>
              <w:t>-3.2</w:t>
            </w:r>
          </w:p>
        </w:tc>
        <w:tc>
          <w:tcPr>
            <w:tcW w:type="dxa" w:w="1440"/>
          </w:tcPr>
          <w:p>
            <w:pPr>
              <w:jc w:val="left"/>
            </w:pPr>
            <w:r>
              <w:rPr>
                <w:rFonts w:ascii="Arial" w:hAnsi="Arial" w:eastAsia="Arial"/>
              </w:rPr>
              <w:t>-3.2</w:t>
            </w:r>
          </w:p>
        </w:tc>
        <w:tc>
          <w:tcPr>
            <w:tcW w:type="dxa" w:w="1440"/>
          </w:tcPr>
          <w:p>
            <w:pPr>
              <w:jc w:val="left"/>
            </w:pPr>
            <w:r>
              <w:rPr>
                <w:rFonts w:ascii="Arial" w:hAnsi="Arial" w:eastAsia="Arial"/>
              </w:rPr>
              <w:t>-3.5</w:t>
            </w:r>
          </w:p>
        </w:tc>
        <w:tc>
          <w:tcPr>
            <w:tcW w:type="dxa" w:w="1440"/>
          </w:tcPr>
          <w:p>
            <w:pPr>
              <w:jc w:val="left"/>
            </w:pPr>
            <w:r>
              <w:rPr>
                <w:rFonts w:ascii="Arial" w:hAnsi="Arial" w:eastAsia="Arial"/>
              </w:rPr>
              <w:t>-3.8</w:t>
            </w:r>
          </w:p>
        </w:tc>
        <w:tc>
          <w:tcPr>
            <w:tcW w:type="dxa" w:w="1440"/>
          </w:tcPr>
          <w:p>
            <w:pPr>
              <w:jc w:val="left"/>
            </w:pPr>
            <w:r>
              <w:rPr>
                <w:rFonts w:ascii="Arial" w:hAnsi="Arial" w:eastAsia="Arial"/>
              </w:rPr>
              <w:t>-4.0</w:t>
            </w:r>
          </w:p>
        </w:tc>
      </w:tr>
      <w:tr>
        <w:tc>
          <w:tcPr>
            <w:tcW w:type="dxa" w:w="1440"/>
          </w:tcPr>
          <w:p>
            <w:pPr>
              <w:jc w:val="left"/>
            </w:pPr>
            <w:r>
              <w:rPr>
                <w:rFonts w:ascii="Arial" w:hAnsi="Arial" w:eastAsia="Arial"/>
              </w:rPr>
              <w:t>Net Profit before Zakat</w:t>
            </w:r>
          </w:p>
        </w:tc>
        <w:tc>
          <w:tcPr>
            <w:tcW w:type="dxa" w:w="1440"/>
          </w:tcPr>
          <w:p>
            <w:pPr>
              <w:jc w:val="left"/>
            </w:pPr>
            <w:r>
              <w:rPr>
                <w:rFonts w:ascii="Arial" w:hAnsi="Arial" w:eastAsia="Arial"/>
              </w:rPr>
              <w:t>-0.5</w:t>
            </w:r>
          </w:p>
        </w:tc>
        <w:tc>
          <w:tcPr>
            <w:tcW w:type="dxa" w:w="1440"/>
          </w:tcPr>
          <w:p>
            <w:pPr>
              <w:jc w:val="left"/>
            </w:pPr>
            <w:r>
              <w:rPr>
                <w:rFonts w:ascii="Arial" w:hAnsi="Arial" w:eastAsia="Arial"/>
              </w:rPr>
              <w:t>2.4</w:t>
            </w:r>
          </w:p>
        </w:tc>
        <w:tc>
          <w:tcPr>
            <w:tcW w:type="dxa" w:w="1440"/>
          </w:tcPr>
          <w:p>
            <w:pPr>
              <w:jc w:val="left"/>
            </w:pPr>
            <w:r>
              <w:rPr>
                <w:rFonts w:ascii="Arial" w:hAnsi="Arial" w:eastAsia="Arial"/>
              </w:rPr>
              <w:t>5.0</w:t>
            </w:r>
          </w:p>
        </w:tc>
        <w:tc>
          <w:tcPr>
            <w:tcW w:type="dxa" w:w="1440"/>
          </w:tcPr>
          <w:p>
            <w:pPr>
              <w:jc w:val="left"/>
            </w:pPr>
            <w:r>
              <w:rPr>
                <w:rFonts w:ascii="Arial" w:hAnsi="Arial" w:eastAsia="Arial"/>
              </w:rPr>
              <w:t>7.7</w:t>
            </w:r>
          </w:p>
        </w:tc>
        <w:tc>
          <w:tcPr>
            <w:tcW w:type="dxa" w:w="1440"/>
          </w:tcPr>
          <w:p>
            <w:pPr>
              <w:jc w:val="left"/>
            </w:pPr>
            <w:r>
              <w:rPr>
                <w:rFonts w:ascii="Arial" w:hAnsi="Arial" w:eastAsia="Arial"/>
              </w:rPr>
              <w:t>10.4</w:t>
            </w:r>
          </w:p>
        </w:tc>
      </w:tr>
    </w:tbl>
    <w:p>
      <w:r>
        <w:br w:type="page"/>
      </w:r>
    </w:p>
    <w:p>
      <w:pPr>
        <w:pStyle w:val="Heading1"/>
        <w:jc w:val="left"/>
      </w:pPr>
      <w:r>
        <w:rPr>
          <w:rFonts w:ascii="Arial" w:hAnsi="Arial" w:eastAsia="Arial"/>
          <w:color w:val="003366"/>
        </w:rPr>
        <w:t>9. Detailed Financial Tables</w:t>
      </w:r>
    </w:p>
    <w:p>
      <w:pPr>
        <w:jc w:val="left"/>
      </w:pPr>
      <w:r>
        <w:rPr>
          <w:rFonts w:ascii="Arial" w:hAnsi="Arial" w:eastAsia="Arial"/>
          <w:b w:val="0"/>
          <w:i w:val="0"/>
          <w:sz w:val="24"/>
        </w:rPr>
        <w:t>The detailed financial model includes monthly cash flow for the first year, project cost breakdowns, and return metrics. The model assumes a gradual ramp-up with 2-3 projects in Year 1, reaching 10 projects by Year 5.</w:t>
      </w:r>
    </w:p>
    <w:p>
      <w:pPr>
        <w:pStyle w:val="Heading2"/>
        <w:jc w:val="left"/>
      </w:pPr>
      <w:r>
        <w:rPr>
          <w:rFonts w:ascii="Arial" w:hAnsi="Arial" w:eastAsia="Arial"/>
          <w:color w:val="D4A853"/>
        </w:rPr>
        <w:t>9.1 Return Metrics</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Metric</w:t>
            </w:r>
          </w:p>
        </w:tc>
        <w:tc>
          <w:tcPr>
            <w:tcW w:type="dxa" w:w="4320"/>
            <w:shd w:fill="0A0F1A"/>
          </w:tcPr>
          <w:p>
            <w:pPr>
              <w:jc w:val="left"/>
            </w:pPr>
            <w:r>
              <w:rPr>
                <w:rFonts w:ascii="Arial" w:hAnsi="Arial" w:eastAsia="Arial"/>
                <w:b/>
                <w:color w:val="FFFFFF"/>
              </w:rPr>
              <w:t>Value</w:t>
            </w:r>
          </w:p>
        </w:tc>
      </w:tr>
      <w:tr>
        <w:tc>
          <w:tcPr>
            <w:tcW w:type="dxa" w:w="4320"/>
          </w:tcPr>
          <w:p>
            <w:pPr>
              <w:jc w:val="left"/>
            </w:pPr>
            <w:r>
              <w:rPr>
                <w:rFonts w:ascii="Arial" w:hAnsi="Arial" w:eastAsia="Arial"/>
              </w:rPr>
              <w:t>Metric</w:t>
            </w:r>
          </w:p>
        </w:tc>
        <w:tc>
          <w:tcPr>
            <w:tcW w:type="dxa" w:w="4320"/>
          </w:tcPr>
          <w:p>
            <w:pPr>
              <w:jc w:val="left"/>
            </w:pPr>
            <w:r>
              <w:rPr>
                <w:rFonts w:ascii="Arial" w:hAnsi="Arial" w:eastAsia="Arial"/>
              </w:rPr>
              <w:t>Value</w:t>
            </w:r>
          </w:p>
        </w:tc>
      </w:tr>
      <w:tr>
        <w:tc>
          <w:tcPr>
            <w:tcW w:type="dxa" w:w="4320"/>
          </w:tcPr>
          <w:p>
            <w:pPr>
              <w:jc w:val="left"/>
            </w:pPr>
            <w:r>
              <w:rPr>
                <w:rFonts w:ascii="Arial" w:hAnsi="Arial" w:eastAsia="Arial"/>
              </w:rPr>
              <w:t>Capital Return at Exit (Years 5-7)</w:t>
            </w:r>
          </w:p>
        </w:tc>
        <w:tc>
          <w:tcPr>
            <w:tcW w:type="dxa" w:w="4320"/>
          </w:tcPr>
          <w:p>
            <w:pPr>
              <w:jc w:val="left"/>
            </w:pPr>
            <w:r>
              <w:rPr>
                <w:rFonts w:ascii="Arial" w:hAnsi="Arial" w:eastAsia="Arial"/>
              </w:rPr>
              <w:t>2.5x - 4x</w:t>
            </w:r>
          </w:p>
        </w:tc>
      </w:tr>
      <w:tr>
        <w:tc>
          <w:tcPr>
            <w:tcW w:type="dxa" w:w="4320"/>
          </w:tcPr>
          <w:p>
            <w:pPr>
              <w:jc w:val="left"/>
            </w:pPr>
            <w:r>
              <w:rPr>
                <w:rFonts w:ascii="Arial" w:hAnsi="Arial" w:eastAsia="Arial"/>
              </w:rPr>
              <w:t>Expected IRR (10 years)</w:t>
            </w:r>
          </w:p>
        </w:tc>
        <w:tc>
          <w:tcPr>
            <w:tcW w:type="dxa" w:w="4320"/>
          </w:tcPr>
          <w:p>
            <w:pPr>
              <w:jc w:val="left"/>
            </w:pPr>
            <w:r>
              <w:rPr>
                <w:rFonts w:ascii="Arial" w:hAnsi="Arial" w:eastAsia="Arial"/>
              </w:rPr>
              <w:t>18.5%+</w:t>
            </w:r>
          </w:p>
        </w:tc>
      </w:tr>
      <w:tr>
        <w:tc>
          <w:tcPr>
            <w:tcW w:type="dxa" w:w="4320"/>
          </w:tcPr>
          <w:p>
            <w:pPr>
              <w:jc w:val="left"/>
            </w:pPr>
            <w:r>
              <w:rPr>
                <w:rFonts w:ascii="Arial" w:hAnsi="Arial" w:eastAsia="Arial"/>
              </w:rPr>
              <w:t>Expected Market Value (Year 5)</w:t>
            </w:r>
          </w:p>
        </w:tc>
        <w:tc>
          <w:tcPr>
            <w:tcW w:type="dxa" w:w="4320"/>
          </w:tcPr>
          <w:p>
            <w:pPr>
              <w:jc w:val="left"/>
            </w:pPr>
            <w:r>
              <w:rPr>
                <w:rFonts w:ascii="Arial" w:hAnsi="Arial" w:eastAsia="Arial"/>
              </w:rPr>
              <w:t>SAR 75 - 94 million</w:t>
            </w:r>
          </w:p>
        </w:tc>
      </w:tr>
      <w:tr>
        <w:tc>
          <w:tcPr>
            <w:tcW w:type="dxa" w:w="4320"/>
          </w:tcPr>
          <w:p>
            <w:pPr>
              <w:jc w:val="left"/>
            </w:pPr>
            <w:r>
              <w:rPr>
                <w:rFonts w:ascii="Arial" w:hAnsi="Arial" w:eastAsia="Arial"/>
              </w:rPr>
              <w:t>Payback Period</w:t>
            </w:r>
          </w:p>
        </w:tc>
        <w:tc>
          <w:tcPr>
            <w:tcW w:type="dxa" w:w="4320"/>
          </w:tcPr>
          <w:p>
            <w:pPr>
              <w:jc w:val="left"/>
            </w:pPr>
            <w:r>
              <w:rPr>
                <w:rFonts w:ascii="Arial" w:hAnsi="Arial" w:eastAsia="Arial"/>
              </w:rPr>
              <w:t>6 years</w:t>
            </w:r>
          </w:p>
        </w:tc>
      </w:tr>
    </w:tbl>
    <w:p>
      <w:pPr>
        <w:pStyle w:val="Heading2"/>
        <w:jc w:val="left"/>
      </w:pPr>
      <w:r>
        <w:rPr>
          <w:rFonts w:ascii="Arial" w:hAnsi="Arial" w:eastAsia="Arial"/>
          <w:color w:val="D4A853"/>
        </w:rPr>
        <w:t>9.2 Long-Term Projection (Years 6-10)</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A0F1A"/>
          </w:tcPr>
          <w:p>
            <w:pPr>
              <w:jc w:val="left"/>
            </w:pPr>
            <w:r>
              <w:rPr>
                <w:rFonts w:ascii="Arial" w:hAnsi="Arial" w:eastAsia="Arial"/>
                <w:b/>
                <w:color w:val="FFFFFF"/>
              </w:rPr>
              <w:t>Year</w:t>
            </w:r>
          </w:p>
        </w:tc>
        <w:tc>
          <w:tcPr>
            <w:tcW w:type="dxa" w:w="2160"/>
            <w:shd w:fill="0A0F1A"/>
          </w:tcPr>
          <w:p>
            <w:pPr>
              <w:jc w:val="left"/>
            </w:pPr>
            <w:r>
              <w:rPr>
                <w:rFonts w:ascii="Arial" w:hAnsi="Arial" w:eastAsia="Arial"/>
                <w:b/>
                <w:color w:val="FFFFFF"/>
              </w:rPr>
              <w:t>Projects</w:t>
            </w:r>
          </w:p>
        </w:tc>
        <w:tc>
          <w:tcPr>
            <w:tcW w:type="dxa" w:w="2160"/>
            <w:shd w:fill="0A0F1A"/>
          </w:tcPr>
          <w:p>
            <w:pPr>
              <w:jc w:val="left"/>
            </w:pPr>
            <w:r>
              <w:rPr>
                <w:rFonts w:ascii="Arial" w:hAnsi="Arial" w:eastAsia="Arial"/>
                <w:b/>
                <w:color w:val="FFFFFF"/>
              </w:rPr>
              <w:t>Revenue</w:t>
            </w:r>
          </w:p>
        </w:tc>
        <w:tc>
          <w:tcPr>
            <w:tcW w:type="dxa" w:w="2160"/>
            <w:shd w:fill="0A0F1A"/>
          </w:tcPr>
          <w:p>
            <w:pPr>
              <w:jc w:val="left"/>
            </w:pPr>
            <w:r>
              <w:rPr>
                <w:rFonts w:ascii="Arial" w:hAnsi="Arial" w:eastAsia="Arial"/>
                <w:b/>
                <w:color w:val="FFFFFF"/>
              </w:rPr>
              <w:t>Net Profit</w:t>
            </w:r>
          </w:p>
        </w:tc>
      </w:tr>
      <w:tr>
        <w:tc>
          <w:tcPr>
            <w:tcW w:type="dxa" w:w="2160"/>
          </w:tcPr>
          <w:p>
            <w:pPr>
              <w:jc w:val="left"/>
            </w:pPr>
            <w:r>
              <w:rPr>
                <w:rFonts w:ascii="Arial" w:hAnsi="Arial" w:eastAsia="Arial"/>
              </w:rPr>
              <w:t>Year</w:t>
            </w:r>
          </w:p>
        </w:tc>
        <w:tc>
          <w:tcPr>
            <w:tcW w:type="dxa" w:w="2160"/>
          </w:tcPr>
          <w:p>
            <w:pPr>
              <w:jc w:val="left"/>
            </w:pPr>
            <w:r>
              <w:rPr>
                <w:rFonts w:ascii="Arial" w:hAnsi="Arial" w:eastAsia="Arial"/>
              </w:rPr>
              <w:t>Projects</w:t>
            </w:r>
          </w:p>
        </w:tc>
        <w:tc>
          <w:tcPr>
            <w:tcW w:type="dxa" w:w="2160"/>
          </w:tcPr>
          <w:p>
            <w:pPr>
              <w:jc w:val="left"/>
            </w:pPr>
            <w:r>
              <w:rPr>
                <w:rFonts w:ascii="Arial" w:hAnsi="Arial" w:eastAsia="Arial"/>
              </w:rPr>
              <w:t>Revenue (SAR million)</w:t>
            </w:r>
          </w:p>
        </w:tc>
        <w:tc>
          <w:tcPr>
            <w:tcW w:type="dxa" w:w="2160"/>
          </w:tcPr>
          <w:p>
            <w:pPr>
              <w:jc w:val="left"/>
            </w:pPr>
            <w:r>
              <w:rPr>
                <w:rFonts w:ascii="Arial" w:hAnsi="Arial" w:eastAsia="Arial"/>
              </w:rPr>
              <w:t>Net Profit (SAR million)</w:t>
            </w:r>
          </w:p>
        </w:tc>
      </w:tr>
      <w:tr>
        <w:tc>
          <w:tcPr>
            <w:tcW w:type="dxa" w:w="2160"/>
          </w:tcPr>
          <w:p>
            <w:pPr>
              <w:jc w:val="left"/>
            </w:pPr>
            <w:r>
              <w:rPr>
                <w:rFonts w:ascii="Arial" w:hAnsi="Arial" w:eastAsia="Arial"/>
              </w:rPr>
              <w:t>6</w:t>
            </w:r>
          </w:p>
        </w:tc>
        <w:tc>
          <w:tcPr>
            <w:tcW w:type="dxa" w:w="2160"/>
          </w:tcPr>
          <w:p>
            <w:pPr>
              <w:jc w:val="left"/>
            </w:pPr>
            <w:r>
              <w:rPr>
                <w:rFonts w:ascii="Arial" w:hAnsi="Arial" w:eastAsia="Arial"/>
              </w:rPr>
              <w:t>12</w:t>
            </w:r>
          </w:p>
        </w:tc>
        <w:tc>
          <w:tcPr>
            <w:tcW w:type="dxa" w:w="2160"/>
          </w:tcPr>
          <w:p>
            <w:pPr>
              <w:jc w:val="left"/>
            </w:pPr>
            <w:r>
              <w:rPr>
                <w:rFonts w:ascii="Arial" w:hAnsi="Arial" w:eastAsia="Arial"/>
              </w:rPr>
              <w:t>19.2</w:t>
            </w:r>
          </w:p>
        </w:tc>
        <w:tc>
          <w:tcPr>
            <w:tcW w:type="dxa" w:w="2160"/>
          </w:tcPr>
          <w:p>
            <w:pPr>
              <w:jc w:val="left"/>
            </w:pPr>
            <w:r>
              <w:rPr>
                <w:rFonts w:ascii="Arial" w:hAnsi="Arial" w:eastAsia="Arial"/>
              </w:rPr>
              <w:t>6.0+</w:t>
            </w:r>
          </w:p>
        </w:tc>
      </w:tr>
      <w:tr>
        <w:tc>
          <w:tcPr>
            <w:tcW w:type="dxa" w:w="2160"/>
          </w:tcPr>
          <w:p>
            <w:pPr>
              <w:jc w:val="left"/>
            </w:pPr>
            <w:r>
              <w:rPr>
                <w:rFonts w:ascii="Arial" w:hAnsi="Arial" w:eastAsia="Arial"/>
              </w:rPr>
              <w:t>7</w:t>
            </w:r>
          </w:p>
        </w:tc>
        <w:tc>
          <w:tcPr>
            <w:tcW w:type="dxa" w:w="2160"/>
          </w:tcPr>
          <w:p>
            <w:pPr>
              <w:jc w:val="left"/>
            </w:pPr>
            <w:r>
              <w:rPr>
                <w:rFonts w:ascii="Arial" w:hAnsi="Arial" w:eastAsia="Arial"/>
              </w:rPr>
              <w:t>14</w:t>
            </w:r>
          </w:p>
        </w:tc>
        <w:tc>
          <w:tcPr>
            <w:tcW w:type="dxa" w:w="2160"/>
          </w:tcPr>
          <w:p>
            <w:pPr>
              <w:jc w:val="left"/>
            </w:pPr>
            <w:r>
              <w:rPr>
                <w:rFonts w:ascii="Arial" w:hAnsi="Arial" w:eastAsia="Arial"/>
              </w:rPr>
              <w:t>22.4</w:t>
            </w:r>
          </w:p>
        </w:tc>
        <w:tc>
          <w:tcPr>
            <w:tcW w:type="dxa" w:w="2160"/>
          </w:tcPr>
          <w:p>
            <w:pPr>
              <w:jc w:val="left"/>
            </w:pPr>
            <w:r>
              <w:rPr>
                <w:rFonts w:ascii="Arial" w:hAnsi="Arial" w:eastAsia="Arial"/>
              </w:rPr>
              <w:t>8.0+</w:t>
            </w:r>
          </w:p>
        </w:tc>
      </w:tr>
      <w:tr>
        <w:tc>
          <w:tcPr>
            <w:tcW w:type="dxa" w:w="2160"/>
          </w:tcPr>
          <w:p>
            <w:pPr>
              <w:jc w:val="left"/>
            </w:pPr>
            <w:r>
              <w:rPr>
                <w:rFonts w:ascii="Arial" w:hAnsi="Arial" w:eastAsia="Arial"/>
              </w:rPr>
              <w:t>8</w:t>
            </w:r>
          </w:p>
        </w:tc>
        <w:tc>
          <w:tcPr>
            <w:tcW w:type="dxa" w:w="2160"/>
          </w:tcPr>
          <w:p>
            <w:pPr>
              <w:jc w:val="left"/>
            </w:pPr>
            <w:r>
              <w:rPr>
                <w:rFonts w:ascii="Arial" w:hAnsi="Arial" w:eastAsia="Arial"/>
              </w:rPr>
              <w:t>16</w:t>
            </w:r>
          </w:p>
        </w:tc>
        <w:tc>
          <w:tcPr>
            <w:tcW w:type="dxa" w:w="2160"/>
          </w:tcPr>
          <w:p>
            <w:pPr>
              <w:jc w:val="left"/>
            </w:pPr>
            <w:r>
              <w:rPr>
                <w:rFonts w:ascii="Arial" w:hAnsi="Arial" w:eastAsia="Arial"/>
              </w:rPr>
              <w:t>25.6</w:t>
            </w:r>
          </w:p>
        </w:tc>
        <w:tc>
          <w:tcPr>
            <w:tcW w:type="dxa" w:w="2160"/>
          </w:tcPr>
          <w:p>
            <w:pPr>
              <w:jc w:val="left"/>
            </w:pPr>
            <w:r>
              <w:rPr>
                <w:rFonts w:ascii="Arial" w:hAnsi="Arial" w:eastAsia="Arial"/>
              </w:rPr>
              <w:t>10.0+</w:t>
            </w:r>
          </w:p>
        </w:tc>
      </w:tr>
      <w:tr>
        <w:tc>
          <w:tcPr>
            <w:tcW w:type="dxa" w:w="2160"/>
          </w:tcPr>
          <w:p>
            <w:pPr>
              <w:jc w:val="left"/>
            </w:pPr>
            <w:r>
              <w:rPr>
                <w:rFonts w:ascii="Arial" w:hAnsi="Arial" w:eastAsia="Arial"/>
              </w:rPr>
              <w:t>9</w:t>
            </w:r>
          </w:p>
        </w:tc>
        <w:tc>
          <w:tcPr>
            <w:tcW w:type="dxa" w:w="2160"/>
          </w:tcPr>
          <w:p>
            <w:pPr>
              <w:jc w:val="left"/>
            </w:pPr>
            <w:r>
              <w:rPr>
                <w:rFonts w:ascii="Arial" w:hAnsi="Arial" w:eastAsia="Arial"/>
              </w:rPr>
              <w:t>18</w:t>
            </w:r>
          </w:p>
        </w:tc>
        <w:tc>
          <w:tcPr>
            <w:tcW w:type="dxa" w:w="2160"/>
          </w:tcPr>
          <w:p>
            <w:pPr>
              <w:jc w:val="left"/>
            </w:pPr>
            <w:r>
              <w:rPr>
                <w:rFonts w:ascii="Arial" w:hAnsi="Arial" w:eastAsia="Arial"/>
              </w:rPr>
              <w:t>28.8</w:t>
            </w:r>
          </w:p>
        </w:tc>
        <w:tc>
          <w:tcPr>
            <w:tcW w:type="dxa" w:w="2160"/>
          </w:tcPr>
          <w:p>
            <w:pPr>
              <w:jc w:val="left"/>
            </w:pPr>
            <w:r>
              <w:rPr>
                <w:rFonts w:ascii="Arial" w:hAnsi="Arial" w:eastAsia="Arial"/>
              </w:rPr>
              <w:t>12.0+</w:t>
            </w:r>
          </w:p>
        </w:tc>
      </w:tr>
      <w:tr>
        <w:tc>
          <w:tcPr>
            <w:tcW w:type="dxa" w:w="2160"/>
          </w:tcPr>
          <w:p>
            <w:pPr>
              <w:jc w:val="left"/>
            </w:pPr>
            <w:r>
              <w:rPr>
                <w:rFonts w:ascii="Arial" w:hAnsi="Arial" w:eastAsia="Arial"/>
              </w:rPr>
              <w:t>10</w:t>
            </w:r>
          </w:p>
        </w:tc>
        <w:tc>
          <w:tcPr>
            <w:tcW w:type="dxa" w:w="2160"/>
          </w:tcPr>
          <w:p>
            <w:pPr>
              <w:jc w:val="left"/>
            </w:pPr>
            <w:r>
              <w:rPr>
                <w:rFonts w:ascii="Arial" w:hAnsi="Arial" w:eastAsia="Arial"/>
              </w:rPr>
              <w:t>20</w:t>
            </w:r>
          </w:p>
        </w:tc>
        <w:tc>
          <w:tcPr>
            <w:tcW w:type="dxa" w:w="2160"/>
          </w:tcPr>
          <w:p>
            <w:pPr>
              <w:jc w:val="left"/>
            </w:pPr>
            <w:r>
              <w:rPr>
                <w:rFonts w:ascii="Arial" w:hAnsi="Arial" w:eastAsia="Arial"/>
              </w:rPr>
              <w:t>32.0</w:t>
            </w:r>
          </w:p>
        </w:tc>
        <w:tc>
          <w:tcPr>
            <w:tcW w:type="dxa" w:w="2160"/>
          </w:tcPr>
          <w:p>
            <w:pPr>
              <w:jc w:val="left"/>
            </w:pPr>
            <w:r>
              <w:rPr>
                <w:rFonts w:ascii="Arial" w:hAnsi="Arial" w:eastAsia="Arial"/>
              </w:rPr>
              <w:t>14.0+</w:t>
            </w:r>
          </w:p>
        </w:tc>
      </w:tr>
    </w:tbl>
    <w:p>
      <w:r>
        <w:br w:type="page"/>
      </w:r>
    </w:p>
    <w:p>
      <w:pPr>
        <w:pStyle w:val="Heading1"/>
        <w:jc w:val="left"/>
      </w:pPr>
      <w:r>
        <w:rPr>
          <w:rFonts w:ascii="Arial" w:hAnsi="Arial" w:eastAsia="Arial"/>
          <w:color w:val="003366"/>
        </w:rPr>
        <w:t>10. Break-even and Sensitivity Analysis</w:t>
      </w:r>
    </w:p>
    <w:p>
      <w:pPr>
        <w:pStyle w:val="Heading2"/>
        <w:jc w:val="left"/>
      </w:pPr>
      <w:r>
        <w:rPr>
          <w:rFonts w:ascii="Arial" w:hAnsi="Arial" w:eastAsia="Arial"/>
          <w:color w:val="D4A853"/>
        </w:rPr>
        <w:t>10.1 Break-even Point</w:t>
      </w:r>
    </w:p>
    <w:p>
      <w:pPr>
        <w:jc w:val="left"/>
      </w:pPr>
      <w:r>
        <w:rPr>
          <w:rFonts w:ascii="Arial" w:hAnsi="Arial" w:eastAsia="Arial"/>
          <w:b w:val="0"/>
          <w:i w:val="0"/>
          <w:sz w:val="24"/>
        </w:rPr>
        <w:t>Under the hybrid model, the company reaches operational break-even with approximately 5-6 projects annually. This assumes a balanced mix of Muhassah, partial purchase, and management fee revenues.</w:t>
      </w:r>
    </w:p>
    <w:p>
      <w:pPr>
        <w:pStyle w:val="Heading2"/>
        <w:jc w:val="left"/>
      </w:pPr>
      <w:r>
        <w:rPr>
          <w:rFonts w:ascii="Arial" w:hAnsi="Arial" w:eastAsia="Arial"/>
          <w:color w:val="D4A853"/>
        </w:rPr>
        <w:t>10.2 Sensitivity Analysis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Price Change</w:t>
            </w:r>
          </w:p>
        </w:tc>
        <w:tc>
          <w:tcPr>
            <w:tcW w:type="dxa" w:w="2880"/>
            <w:shd w:fill="0A0F1A"/>
          </w:tcPr>
          <w:p>
            <w:pPr>
              <w:jc w:val="left"/>
            </w:pPr>
            <w:r>
              <w:rPr>
                <w:rFonts w:ascii="Arial" w:hAnsi="Arial" w:eastAsia="Arial"/>
                <w:b/>
                <w:color w:val="FFFFFF"/>
              </w:rPr>
              <w:t>Y3 Profit</w:t>
            </w:r>
          </w:p>
        </w:tc>
        <w:tc>
          <w:tcPr>
            <w:tcW w:type="dxa" w:w="2880"/>
            <w:shd w:fill="0A0F1A"/>
          </w:tcPr>
          <w:p>
            <w:pPr>
              <w:jc w:val="left"/>
            </w:pPr>
            <w:r>
              <w:rPr>
                <w:rFonts w:ascii="Arial" w:hAnsi="Arial" w:eastAsia="Arial"/>
                <w:b/>
                <w:color w:val="FFFFFF"/>
              </w:rPr>
              <w:t>Y5 Profit</w:t>
            </w:r>
          </w:p>
        </w:tc>
      </w:tr>
      <w:tr>
        <w:tc>
          <w:tcPr>
            <w:tcW w:type="dxa" w:w="2880"/>
          </w:tcPr>
          <w:p>
            <w:pPr>
              <w:jc w:val="left"/>
            </w:pPr>
            <w:r>
              <w:rPr>
                <w:rFonts w:ascii="Arial" w:hAnsi="Arial" w:eastAsia="Arial"/>
              </w:rPr>
              <w:t>Price Change</w:t>
            </w:r>
          </w:p>
        </w:tc>
        <w:tc>
          <w:tcPr>
            <w:tcW w:type="dxa" w:w="2880"/>
          </w:tcPr>
          <w:p>
            <w:pPr>
              <w:jc w:val="left"/>
            </w:pPr>
            <w:r>
              <w:rPr>
                <w:rFonts w:ascii="Arial" w:hAnsi="Arial" w:eastAsia="Arial"/>
              </w:rPr>
              <w:t>Year 3 Net Profit</w:t>
            </w:r>
          </w:p>
        </w:tc>
        <w:tc>
          <w:tcPr>
            <w:tcW w:type="dxa" w:w="2880"/>
          </w:tcPr>
          <w:p>
            <w:pPr>
              <w:jc w:val="left"/>
            </w:pPr>
            <w:r>
              <w:rPr>
                <w:rFonts w:ascii="Arial" w:hAnsi="Arial" w:eastAsia="Arial"/>
              </w:rPr>
              <w:t>Year 5 Net Profit</w:t>
            </w:r>
          </w:p>
        </w:tc>
      </w:tr>
      <w:tr>
        <w:tc>
          <w:tcPr>
            <w:tcW w:type="dxa" w:w="2880"/>
          </w:tcPr>
          <w:p>
            <w:pPr>
              <w:jc w:val="left"/>
            </w:pPr>
            <w:r>
              <w:rPr>
                <w:rFonts w:ascii="Arial" w:hAnsi="Arial" w:eastAsia="Arial"/>
              </w:rPr>
              <w:t>-20%</w:t>
            </w:r>
          </w:p>
        </w:tc>
        <w:tc>
          <w:tcPr>
            <w:tcW w:type="dxa" w:w="2880"/>
          </w:tcPr>
          <w:p>
            <w:pPr>
              <w:jc w:val="left"/>
            </w:pPr>
            <w:r>
              <w:rPr>
                <w:rFonts w:ascii="Arial" w:hAnsi="Arial" w:eastAsia="Arial"/>
              </w:rPr>
              <w:t>1.5M</w:t>
            </w:r>
          </w:p>
        </w:tc>
        <w:tc>
          <w:tcPr>
            <w:tcW w:type="dxa" w:w="2880"/>
          </w:tcPr>
          <w:p>
            <w:pPr>
              <w:jc w:val="left"/>
            </w:pPr>
            <w:r>
              <w:rPr>
                <w:rFonts w:ascii="Arial" w:hAnsi="Arial" w:eastAsia="Arial"/>
              </w:rPr>
              <w:t>5.5M</w:t>
            </w:r>
          </w:p>
        </w:tc>
      </w:tr>
      <w:tr>
        <w:tc>
          <w:tcPr>
            <w:tcW w:type="dxa" w:w="2880"/>
          </w:tcPr>
          <w:p>
            <w:pPr>
              <w:jc w:val="left"/>
            </w:pPr>
            <w:r>
              <w:rPr>
                <w:rFonts w:ascii="Arial" w:hAnsi="Arial" w:eastAsia="Arial"/>
              </w:rPr>
              <w:t>-10%</w:t>
            </w:r>
          </w:p>
        </w:tc>
        <w:tc>
          <w:tcPr>
            <w:tcW w:type="dxa" w:w="2880"/>
          </w:tcPr>
          <w:p>
            <w:pPr>
              <w:jc w:val="left"/>
            </w:pPr>
            <w:r>
              <w:rPr>
                <w:rFonts w:ascii="Arial" w:hAnsi="Arial" w:eastAsia="Arial"/>
              </w:rPr>
              <w:t>3.2M</w:t>
            </w:r>
          </w:p>
        </w:tc>
        <w:tc>
          <w:tcPr>
            <w:tcW w:type="dxa" w:w="2880"/>
          </w:tcPr>
          <w:p>
            <w:pPr>
              <w:jc w:val="left"/>
            </w:pPr>
            <w:r>
              <w:rPr>
                <w:rFonts w:ascii="Arial" w:hAnsi="Arial" w:eastAsia="Arial"/>
              </w:rPr>
              <w:t>7.8M</w:t>
            </w:r>
          </w:p>
        </w:tc>
      </w:tr>
      <w:tr>
        <w:tc>
          <w:tcPr>
            <w:tcW w:type="dxa" w:w="2880"/>
          </w:tcPr>
          <w:p>
            <w:pPr>
              <w:jc w:val="left"/>
            </w:pPr>
            <w:r>
              <w:rPr>
                <w:rFonts w:ascii="Arial" w:hAnsi="Arial" w:eastAsia="Arial"/>
              </w:rPr>
              <w:t>Base (0%)</w:t>
            </w:r>
          </w:p>
        </w:tc>
        <w:tc>
          <w:tcPr>
            <w:tcW w:type="dxa" w:w="2880"/>
          </w:tcPr>
          <w:p>
            <w:pPr>
              <w:jc w:val="left"/>
            </w:pPr>
            <w:r>
              <w:rPr>
                <w:rFonts w:ascii="Arial" w:hAnsi="Arial" w:eastAsia="Arial"/>
              </w:rPr>
              <w:t>5.0M</w:t>
            </w:r>
          </w:p>
        </w:tc>
        <w:tc>
          <w:tcPr>
            <w:tcW w:type="dxa" w:w="2880"/>
          </w:tcPr>
          <w:p>
            <w:pPr>
              <w:jc w:val="left"/>
            </w:pPr>
            <w:r>
              <w:rPr>
                <w:rFonts w:ascii="Arial" w:hAnsi="Arial" w:eastAsia="Arial"/>
              </w:rPr>
              <w:t>10.4M</w:t>
            </w:r>
          </w:p>
        </w:tc>
      </w:tr>
      <w:tr>
        <w:tc>
          <w:tcPr>
            <w:tcW w:type="dxa" w:w="2880"/>
          </w:tcPr>
          <w:p>
            <w:pPr>
              <w:jc w:val="left"/>
            </w:pPr>
            <w:r>
              <w:rPr>
                <w:rFonts w:ascii="Arial" w:hAnsi="Arial" w:eastAsia="Arial"/>
              </w:rPr>
              <w:t>+10%</w:t>
            </w:r>
          </w:p>
        </w:tc>
        <w:tc>
          <w:tcPr>
            <w:tcW w:type="dxa" w:w="2880"/>
          </w:tcPr>
          <w:p>
            <w:pPr>
              <w:jc w:val="left"/>
            </w:pPr>
            <w:r>
              <w:rPr>
                <w:rFonts w:ascii="Arial" w:hAnsi="Arial" w:eastAsia="Arial"/>
              </w:rPr>
              <w:t>6.8M</w:t>
            </w:r>
          </w:p>
        </w:tc>
        <w:tc>
          <w:tcPr>
            <w:tcW w:type="dxa" w:w="2880"/>
          </w:tcPr>
          <w:p>
            <w:pPr>
              <w:jc w:val="left"/>
            </w:pPr>
            <w:r>
              <w:rPr>
                <w:rFonts w:ascii="Arial" w:hAnsi="Arial" w:eastAsia="Arial"/>
              </w:rPr>
              <w:t>13.0M</w:t>
            </w:r>
          </w:p>
        </w:tc>
      </w:tr>
      <w:tr>
        <w:tc>
          <w:tcPr>
            <w:tcW w:type="dxa" w:w="2880"/>
          </w:tcPr>
          <w:p>
            <w:pPr>
              <w:jc w:val="left"/>
            </w:pPr>
            <w:r>
              <w:rPr>
                <w:rFonts w:ascii="Arial" w:hAnsi="Arial" w:eastAsia="Arial"/>
              </w:rPr>
              <w:t>+20%</w:t>
            </w:r>
          </w:p>
        </w:tc>
        <w:tc>
          <w:tcPr>
            <w:tcW w:type="dxa" w:w="2880"/>
          </w:tcPr>
          <w:p>
            <w:pPr>
              <w:jc w:val="left"/>
            </w:pPr>
            <w:r>
              <w:rPr>
                <w:rFonts w:ascii="Arial" w:hAnsi="Arial" w:eastAsia="Arial"/>
              </w:rPr>
              <w:t>8.5M</w:t>
            </w:r>
          </w:p>
        </w:tc>
        <w:tc>
          <w:tcPr>
            <w:tcW w:type="dxa" w:w="2880"/>
          </w:tcPr>
          <w:p>
            <w:pPr>
              <w:jc w:val="left"/>
            </w:pPr>
            <w:r>
              <w:rPr>
                <w:rFonts w:ascii="Arial" w:hAnsi="Arial" w:eastAsia="Arial"/>
              </w:rPr>
              <w:t>15.5M</w:t>
            </w:r>
          </w:p>
        </w:tc>
      </w:tr>
    </w:tbl>
    <w:p>
      <w:pPr>
        <w:jc w:val="left"/>
      </w:pPr>
      <w:r>
        <w:rPr>
          <w:rFonts w:ascii="Arial" w:hAnsi="Arial" w:eastAsia="Arial"/>
          <w:b w:val="0"/>
          <w:i w:val="0"/>
          <w:sz w:val="24"/>
        </w:rPr>
        <w:t>The model shows resilience even with 20% price decline or 30% cost increase, remaining profitable from Year 3 onward.</w:t>
      </w:r>
    </w:p>
    <w:p>
      <w:r>
        <w:br w:type="page"/>
      </w:r>
    </w:p>
    <w:p>
      <w:pPr>
        <w:pStyle w:val="Heading1"/>
        <w:jc w:val="left"/>
      </w:pPr>
      <w:r>
        <w:rPr>
          <w:rFonts w:ascii="Arial" w:hAnsi="Arial" w:eastAsia="Arial"/>
          <w:color w:val="003366"/>
        </w:rPr>
        <w:t>11. Risk Analysis and Mitigation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A0F1A"/>
          </w:tcPr>
          <w:p>
            <w:pPr>
              <w:jc w:val="left"/>
            </w:pPr>
            <w:r>
              <w:rPr>
                <w:rFonts w:ascii="Arial" w:hAnsi="Arial" w:eastAsia="Arial"/>
                <w:b/>
                <w:color w:val="FFFFFF"/>
              </w:rPr>
              <w:t>Risk</w:t>
            </w:r>
          </w:p>
        </w:tc>
        <w:tc>
          <w:tcPr>
            <w:tcW w:type="dxa" w:w="2160"/>
            <w:shd w:fill="0A0F1A"/>
          </w:tcPr>
          <w:p>
            <w:pPr>
              <w:jc w:val="left"/>
            </w:pPr>
            <w:r>
              <w:rPr>
                <w:rFonts w:ascii="Arial" w:hAnsi="Arial" w:eastAsia="Arial"/>
                <w:b/>
                <w:color w:val="FFFFFF"/>
              </w:rPr>
              <w:t>Probability</w:t>
            </w:r>
          </w:p>
        </w:tc>
        <w:tc>
          <w:tcPr>
            <w:tcW w:type="dxa" w:w="2160"/>
            <w:shd w:fill="0A0F1A"/>
          </w:tcPr>
          <w:p>
            <w:pPr>
              <w:jc w:val="left"/>
            </w:pPr>
            <w:r>
              <w:rPr>
                <w:rFonts w:ascii="Arial" w:hAnsi="Arial" w:eastAsia="Arial"/>
                <w:b/>
                <w:color w:val="FFFFFF"/>
              </w:rPr>
              <w:t>Impact</w:t>
            </w:r>
          </w:p>
        </w:tc>
        <w:tc>
          <w:tcPr>
            <w:tcW w:type="dxa" w:w="2160"/>
            <w:shd w:fill="0A0F1A"/>
          </w:tcPr>
          <w:p>
            <w:pPr>
              <w:jc w:val="left"/>
            </w:pPr>
            <w:r>
              <w:rPr>
                <w:rFonts w:ascii="Arial" w:hAnsi="Arial" w:eastAsia="Arial"/>
                <w:b/>
                <w:color w:val="FFFFFF"/>
              </w:rPr>
              <w:t>Mitigation</w:t>
            </w:r>
          </w:p>
        </w:tc>
      </w:tr>
      <w:tr>
        <w:tc>
          <w:tcPr>
            <w:tcW w:type="dxa" w:w="2160"/>
          </w:tcPr>
          <w:p>
            <w:pPr>
              <w:jc w:val="left"/>
            </w:pPr>
            <w:r>
              <w:rPr>
                <w:rFonts w:ascii="Arial" w:hAnsi="Arial" w:eastAsia="Arial"/>
              </w:rPr>
              <w:t>Risk</w:t>
            </w:r>
          </w:p>
        </w:tc>
        <w:tc>
          <w:tcPr>
            <w:tcW w:type="dxa" w:w="2160"/>
          </w:tcPr>
          <w:p>
            <w:pPr>
              <w:jc w:val="left"/>
            </w:pPr>
            <w:r>
              <w:rPr>
                <w:rFonts w:ascii="Arial" w:hAnsi="Arial" w:eastAsia="Arial"/>
              </w:rPr>
              <w:t>Probability</w:t>
            </w:r>
          </w:p>
        </w:tc>
        <w:tc>
          <w:tcPr>
            <w:tcW w:type="dxa" w:w="2160"/>
          </w:tcPr>
          <w:p>
            <w:pPr>
              <w:jc w:val="left"/>
            </w:pPr>
            <w:r>
              <w:rPr>
                <w:rFonts w:ascii="Arial" w:hAnsi="Arial" w:eastAsia="Arial"/>
              </w:rPr>
              <w:t>Impact</w:t>
            </w:r>
          </w:p>
        </w:tc>
        <w:tc>
          <w:tcPr>
            <w:tcW w:type="dxa" w:w="2160"/>
          </w:tcPr>
          <w:p>
            <w:pPr>
              <w:jc w:val="left"/>
            </w:pPr>
            <w:r>
              <w:rPr>
                <w:rFonts w:ascii="Arial" w:hAnsi="Arial" w:eastAsia="Arial"/>
              </w:rPr>
              <w:t>Mitigation</w:t>
            </w:r>
          </w:p>
        </w:tc>
      </w:tr>
      <w:tr>
        <w:tc>
          <w:tcPr>
            <w:tcW w:type="dxa" w:w="2160"/>
          </w:tcPr>
          <w:p>
            <w:pPr>
              <w:jc w:val="left"/>
            </w:pPr>
            <w:r>
              <w:rPr>
                <w:rFonts w:ascii="Arial" w:hAnsi="Arial" w:eastAsia="Arial"/>
              </w:rPr>
              <w:t>Difficulty acquiring quality assets</w:t>
            </w:r>
          </w:p>
        </w:tc>
        <w:tc>
          <w:tcPr>
            <w:tcW w:type="dxa" w:w="2160"/>
          </w:tcPr>
          <w:p>
            <w:pPr>
              <w:jc w:val="left"/>
            </w:pPr>
            <w:r>
              <w:rPr>
                <w:rFonts w:ascii="Arial" w:hAnsi="Arial" w:eastAsia="Arial"/>
              </w:rPr>
              <w:t>High</w:t>
            </w:r>
          </w:p>
        </w:tc>
        <w:tc>
          <w:tcPr>
            <w:tcW w:type="dxa" w:w="2160"/>
          </w:tcPr>
          <w:p>
            <w:pPr>
              <w:jc w:val="left"/>
            </w:pPr>
            <w:r>
              <w:rPr>
                <w:rFonts w:ascii="Arial" w:hAnsi="Arial" w:eastAsia="Arial"/>
              </w:rPr>
              <w:t>Growth stagnation</w:t>
            </w:r>
          </w:p>
        </w:tc>
        <w:tc>
          <w:tcPr>
            <w:tcW w:type="dxa" w:w="2160"/>
          </w:tcPr>
          <w:p>
            <w:pPr>
              <w:jc w:val="left"/>
            </w:pPr>
            <w:r>
              <w:rPr>
                <w:rFonts w:ascii="Arial" w:hAnsi="Arial" w:eastAsia="Arial"/>
              </w:rPr>
              <w:t>Network, database, appraisers</w:t>
            </w:r>
          </w:p>
        </w:tc>
      </w:tr>
      <w:tr>
        <w:tc>
          <w:tcPr>
            <w:tcW w:type="dxa" w:w="2160"/>
          </w:tcPr>
          <w:p>
            <w:pPr>
              <w:jc w:val="left"/>
            </w:pPr>
            <w:r>
              <w:rPr>
                <w:rFonts w:ascii="Arial" w:hAnsi="Arial" w:eastAsia="Arial"/>
              </w:rPr>
              <w:t>Hidden structural defects</w:t>
            </w:r>
          </w:p>
        </w:tc>
        <w:tc>
          <w:tcPr>
            <w:tcW w:type="dxa" w:w="2160"/>
          </w:tcPr>
          <w:p>
            <w:pPr>
              <w:jc w:val="left"/>
            </w:pPr>
            <w:r>
              <w:rPr>
                <w:rFonts w:ascii="Arial" w:hAnsi="Arial" w:eastAsia="Arial"/>
              </w:rPr>
              <w:t>High</w:t>
            </w:r>
          </w:p>
        </w:tc>
        <w:tc>
          <w:tcPr>
            <w:tcW w:type="dxa" w:w="2160"/>
          </w:tcPr>
          <w:p>
            <w:pPr>
              <w:jc w:val="left"/>
            </w:pPr>
            <w:r>
              <w:rPr>
                <w:rFonts w:ascii="Arial" w:hAnsi="Arial" w:eastAsia="Arial"/>
              </w:rPr>
              <w:t>Major financial loss</w:t>
            </w:r>
          </w:p>
        </w:tc>
        <w:tc>
          <w:tcPr>
            <w:tcW w:type="dxa" w:w="2160"/>
          </w:tcPr>
          <w:p>
            <w:pPr>
              <w:jc w:val="left"/>
            </w:pPr>
            <w:r>
              <w:rPr>
                <w:rFonts w:ascii="Arial" w:hAnsi="Arial" w:eastAsia="Arial"/>
              </w:rPr>
              <w:t>Engineering inspection + insurance + 15% reserve</w:t>
            </w:r>
          </w:p>
        </w:tc>
      </w:tr>
      <w:tr>
        <w:tc>
          <w:tcPr>
            <w:tcW w:type="dxa" w:w="2160"/>
          </w:tcPr>
          <w:p>
            <w:pPr>
              <w:jc w:val="left"/>
            </w:pPr>
            <w:r>
              <w:rPr>
                <w:rFonts w:ascii="Arial" w:hAnsi="Arial" w:eastAsia="Arial"/>
              </w:rPr>
              <w:t>Delayed unit sales</w:t>
            </w:r>
          </w:p>
        </w:tc>
        <w:tc>
          <w:tcPr>
            <w:tcW w:type="dxa" w:w="2160"/>
          </w:tcPr>
          <w:p>
            <w:pPr>
              <w:jc w:val="left"/>
            </w:pPr>
            <w:r>
              <w:rPr>
                <w:rFonts w:ascii="Arial" w:hAnsi="Arial" w:eastAsia="Arial"/>
              </w:rPr>
              <w:t>Medium</w:t>
            </w:r>
          </w:p>
        </w:tc>
        <w:tc>
          <w:tcPr>
            <w:tcW w:type="dxa" w:w="2160"/>
          </w:tcPr>
          <w:p>
            <w:pPr>
              <w:jc w:val="left"/>
            </w:pPr>
            <w:r>
              <w:rPr>
                <w:rFonts w:ascii="Arial" w:hAnsi="Arial" w:eastAsia="Arial"/>
              </w:rPr>
              <w:t>Carrying costs</w:t>
            </w:r>
          </w:p>
        </w:tc>
        <w:tc>
          <w:tcPr>
            <w:tcW w:type="dxa" w:w="2160"/>
          </w:tcPr>
          <w:p>
            <w:pPr>
              <w:jc w:val="left"/>
            </w:pPr>
            <w:r>
              <w:rPr>
                <w:rFonts w:ascii="Arial" w:hAnsi="Arial" w:eastAsia="Arial"/>
              </w:rPr>
              <w:t>Competitive pricing + pre-sale contracts</w:t>
            </w:r>
          </w:p>
        </w:tc>
      </w:tr>
      <w:tr>
        <w:tc>
          <w:tcPr>
            <w:tcW w:type="dxa" w:w="2160"/>
          </w:tcPr>
          <w:p>
            <w:pPr>
              <w:jc w:val="left"/>
            </w:pPr>
            <w:r>
              <w:rPr>
                <w:rFonts w:ascii="Arial" w:hAnsi="Arial" w:eastAsia="Arial"/>
              </w:rPr>
              <w:t>Contractor delay</w:t>
            </w:r>
          </w:p>
        </w:tc>
        <w:tc>
          <w:tcPr>
            <w:tcW w:type="dxa" w:w="2160"/>
          </w:tcPr>
          <w:p>
            <w:pPr>
              <w:jc w:val="left"/>
            </w:pPr>
            <w:r>
              <w:rPr>
                <w:rFonts w:ascii="Arial" w:hAnsi="Arial" w:eastAsia="Arial"/>
              </w:rPr>
              <w:t>Medium</w:t>
            </w:r>
          </w:p>
        </w:tc>
        <w:tc>
          <w:tcPr>
            <w:tcW w:type="dxa" w:w="2160"/>
          </w:tcPr>
          <w:p>
            <w:pPr>
              <w:jc w:val="left"/>
            </w:pPr>
            <w:r>
              <w:rPr>
                <w:rFonts w:ascii="Arial" w:hAnsi="Arial" w:eastAsia="Arial"/>
              </w:rPr>
              <w:t>Additional costs</w:t>
            </w:r>
          </w:p>
        </w:tc>
        <w:tc>
          <w:tcPr>
            <w:tcW w:type="dxa" w:w="2160"/>
          </w:tcPr>
          <w:p>
            <w:pPr>
              <w:jc w:val="left"/>
            </w:pPr>
            <w:r>
              <w:rPr>
                <w:rFonts w:ascii="Arial" w:hAnsi="Arial" w:eastAsia="Arial"/>
              </w:rPr>
              <w:t>Bank guarantee + penalties</w:t>
            </w:r>
          </w:p>
        </w:tc>
      </w:tr>
      <w:tr>
        <w:tc>
          <w:tcPr>
            <w:tcW w:type="dxa" w:w="2160"/>
          </w:tcPr>
          <w:p>
            <w:pPr>
              <w:jc w:val="left"/>
            </w:pPr>
            <w:r>
              <w:rPr>
                <w:rFonts w:ascii="Arial" w:hAnsi="Arial" w:eastAsia="Arial"/>
              </w:rPr>
              <w:t>Material price changes</w:t>
            </w:r>
          </w:p>
        </w:tc>
        <w:tc>
          <w:tcPr>
            <w:tcW w:type="dxa" w:w="2160"/>
          </w:tcPr>
          <w:p>
            <w:pPr>
              <w:jc w:val="left"/>
            </w:pPr>
            <w:r>
              <w:rPr>
                <w:rFonts w:ascii="Arial" w:hAnsi="Arial" w:eastAsia="Arial"/>
              </w:rPr>
              <w:t>Medium</w:t>
            </w:r>
          </w:p>
        </w:tc>
        <w:tc>
          <w:tcPr>
            <w:tcW w:type="dxa" w:w="2160"/>
          </w:tcPr>
          <w:p>
            <w:pPr>
              <w:jc w:val="left"/>
            </w:pPr>
            <w:r>
              <w:rPr>
                <w:rFonts w:ascii="Arial" w:hAnsi="Arial" w:eastAsia="Arial"/>
              </w:rPr>
              <w:t>Cost increases</w:t>
            </w:r>
          </w:p>
        </w:tc>
        <w:tc>
          <w:tcPr>
            <w:tcW w:type="dxa" w:w="2160"/>
          </w:tcPr>
          <w:p>
            <w:pPr>
              <w:jc w:val="left"/>
            </w:pPr>
            <w:r>
              <w:rPr>
                <w:rFonts w:ascii="Arial" w:hAnsi="Arial" w:eastAsia="Arial"/>
              </w:rPr>
              <w:t>Fixed-price contracts</w:t>
            </w:r>
          </w:p>
        </w:tc>
      </w:tr>
      <w:tr>
        <w:tc>
          <w:tcPr>
            <w:tcW w:type="dxa" w:w="2160"/>
          </w:tcPr>
          <w:p>
            <w:pPr>
              <w:jc w:val="left"/>
            </w:pPr>
            <w:r>
              <w:rPr>
                <w:rFonts w:ascii="Arial" w:hAnsi="Arial" w:eastAsia="Arial"/>
              </w:rPr>
              <w:t>Legal disputes with owners</w:t>
            </w:r>
          </w:p>
        </w:tc>
        <w:tc>
          <w:tcPr>
            <w:tcW w:type="dxa" w:w="2160"/>
          </w:tcPr>
          <w:p>
            <w:pPr>
              <w:jc w:val="left"/>
            </w:pPr>
            <w:r>
              <w:rPr>
                <w:rFonts w:ascii="Arial" w:hAnsi="Arial" w:eastAsia="Arial"/>
              </w:rPr>
              <w:t>Medium</w:t>
            </w:r>
          </w:p>
        </w:tc>
        <w:tc>
          <w:tcPr>
            <w:tcW w:type="dxa" w:w="2160"/>
          </w:tcPr>
          <w:p>
            <w:pPr>
              <w:jc w:val="left"/>
            </w:pPr>
            <w:r>
              <w:rPr>
                <w:rFonts w:ascii="Arial" w:hAnsi="Arial" w:eastAsia="Arial"/>
              </w:rPr>
              <w:t>Project stoppage</w:t>
            </w:r>
          </w:p>
        </w:tc>
        <w:tc>
          <w:tcPr>
            <w:tcW w:type="dxa" w:w="2160"/>
          </w:tcPr>
          <w:p>
            <w:pPr>
              <w:jc w:val="left"/>
            </w:pPr>
            <w:r>
              <w:rPr>
                <w:rFonts w:ascii="Arial" w:hAnsi="Arial" w:eastAsia="Arial"/>
              </w:rPr>
              <w:t>Clear contracts + binding arbitration</w:t>
            </w:r>
          </w:p>
        </w:tc>
      </w:tr>
      <w:tr>
        <w:tc>
          <w:tcPr>
            <w:tcW w:type="dxa" w:w="2160"/>
          </w:tcPr>
          <w:p>
            <w:pPr>
              <w:jc w:val="left"/>
            </w:pPr>
            <w:r>
              <w:rPr>
                <w:rFonts w:ascii="Arial" w:hAnsi="Arial" w:eastAsia="Arial"/>
              </w:rPr>
              <w:t>Real estate price decline</w:t>
            </w:r>
          </w:p>
        </w:tc>
        <w:tc>
          <w:tcPr>
            <w:tcW w:type="dxa" w:w="2160"/>
          </w:tcPr>
          <w:p>
            <w:pPr>
              <w:jc w:val="left"/>
            </w:pPr>
            <w:r>
              <w:rPr>
                <w:rFonts w:ascii="Arial" w:hAnsi="Arial" w:eastAsia="Arial"/>
              </w:rPr>
              <w:t>Low-Medium</w:t>
            </w:r>
          </w:p>
        </w:tc>
        <w:tc>
          <w:tcPr>
            <w:tcW w:type="dxa" w:w="2160"/>
          </w:tcPr>
          <w:p>
            <w:pPr>
              <w:jc w:val="left"/>
            </w:pPr>
            <w:r>
              <w:rPr>
                <w:rFonts w:ascii="Arial" w:hAnsi="Arial" w:eastAsia="Arial"/>
              </w:rPr>
              <w:t>Margin compression</w:t>
            </w:r>
          </w:p>
        </w:tc>
        <w:tc>
          <w:tcPr>
            <w:tcW w:type="dxa" w:w="2160"/>
          </w:tcPr>
          <w:p>
            <w:pPr>
              <w:jc w:val="left"/>
            </w:pPr>
            <w:r>
              <w:rPr>
                <w:rFonts w:ascii="Arial" w:hAnsi="Arial" w:eastAsia="Arial"/>
              </w:rPr>
              <w:t>Geographic diversification</w:t>
            </w:r>
          </w:p>
        </w:tc>
      </w:tr>
    </w:tbl>
    <w:p>
      <w:pPr>
        <w:pStyle w:val="Heading2"/>
        <w:jc w:val="left"/>
      </w:pPr>
      <w:r>
        <w:rPr>
          <w:rFonts w:ascii="Arial" w:hAnsi="Arial" w:eastAsia="Arial"/>
          <w:color w:val="D4A853"/>
        </w:rPr>
        <w:t>Recommended Risk Reserve</w:t>
      </w:r>
    </w:p>
    <w:tbl>
      <w:tblPr>
        <w:tblStyle w:val="LightGrid-Accent1"/>
        <w:tblW w:type="auto" w:w="0"/>
        <w:jc w:val="left"/>
        <w:tblLook w:firstColumn="1" w:firstRow="1" w:lastColumn="0" w:lastRow="0" w:noHBand="0" w:noVBand="1" w:val="04A0"/>
      </w:tblPr>
      <w:tblGrid>
        <w:gridCol w:w="4320"/>
        <w:gridCol w:w="4320"/>
      </w:tblGrid>
      <w:tr>
        <w:tc>
          <w:tcPr>
            <w:tcW w:type="dxa" w:w="4320"/>
            <w:shd w:fill="0A0F1A"/>
          </w:tcPr>
          <w:p>
            <w:pPr>
              <w:jc w:val="left"/>
            </w:pPr>
            <w:r>
              <w:rPr>
                <w:rFonts w:ascii="Arial" w:hAnsi="Arial" w:eastAsia="Arial"/>
                <w:b/>
                <w:color w:val="FFFFFF"/>
              </w:rPr>
              <w:t>Reserve</w:t>
            </w:r>
          </w:p>
        </w:tc>
        <w:tc>
          <w:tcPr>
            <w:tcW w:type="dxa" w:w="4320"/>
            <w:shd w:fill="0A0F1A"/>
          </w:tcPr>
          <w:p>
            <w:pPr>
              <w:jc w:val="left"/>
            </w:pPr>
            <w:r>
              <w:rPr>
                <w:rFonts w:ascii="Arial" w:hAnsi="Arial" w:eastAsia="Arial"/>
                <w:b/>
                <w:color w:val="FFFFFF"/>
              </w:rPr>
              <w:t>Amount</w:t>
            </w:r>
          </w:p>
        </w:tc>
      </w:tr>
      <w:tr>
        <w:tc>
          <w:tcPr>
            <w:tcW w:type="dxa" w:w="4320"/>
          </w:tcPr>
          <w:p>
            <w:pPr>
              <w:jc w:val="left"/>
            </w:pPr>
            <w:r>
              <w:rPr>
                <w:rFonts w:ascii="Arial" w:hAnsi="Arial" w:eastAsia="Arial"/>
              </w:rPr>
              <w:t>Reserve Type</w:t>
            </w:r>
          </w:p>
        </w:tc>
        <w:tc>
          <w:tcPr>
            <w:tcW w:type="dxa" w:w="4320"/>
          </w:tcPr>
          <w:p>
            <w:pPr>
              <w:jc w:val="left"/>
            </w:pPr>
            <w:r>
              <w:rPr>
                <w:rFonts w:ascii="Arial" w:hAnsi="Arial" w:eastAsia="Arial"/>
              </w:rPr>
              <w:t>Amount</w:t>
            </w:r>
          </w:p>
        </w:tc>
      </w:tr>
      <w:tr>
        <w:tc>
          <w:tcPr>
            <w:tcW w:type="dxa" w:w="4320"/>
          </w:tcPr>
          <w:p>
            <w:pPr>
              <w:jc w:val="left"/>
            </w:pPr>
            <w:r>
              <w:rPr>
                <w:rFonts w:ascii="Arial" w:hAnsi="Arial" w:eastAsia="Arial"/>
              </w:rPr>
              <w:t>Structural Defects Reserve</w:t>
            </w:r>
          </w:p>
        </w:tc>
        <w:tc>
          <w:tcPr>
            <w:tcW w:type="dxa" w:w="4320"/>
          </w:tcPr>
          <w:p>
            <w:pPr>
              <w:jc w:val="left"/>
            </w:pPr>
            <w:r>
              <w:rPr>
                <w:rFonts w:ascii="Arial" w:hAnsi="Arial" w:eastAsia="Arial"/>
              </w:rPr>
              <w:t>SAR 225,000 per project</w:t>
            </w:r>
          </w:p>
        </w:tc>
      </w:tr>
      <w:tr>
        <w:tc>
          <w:tcPr>
            <w:tcW w:type="dxa" w:w="4320"/>
          </w:tcPr>
          <w:p>
            <w:pPr>
              <w:jc w:val="left"/>
            </w:pPr>
            <w:r>
              <w:rPr>
                <w:rFonts w:ascii="Arial" w:hAnsi="Arial" w:eastAsia="Arial"/>
              </w:rPr>
              <w:t>Sales Delay Reserve</w:t>
            </w:r>
          </w:p>
        </w:tc>
        <w:tc>
          <w:tcPr>
            <w:tcW w:type="dxa" w:w="4320"/>
          </w:tcPr>
          <w:p>
            <w:pPr>
              <w:jc w:val="left"/>
            </w:pPr>
            <w:r>
              <w:rPr>
                <w:rFonts w:ascii="Arial" w:hAnsi="Arial" w:eastAsia="Arial"/>
              </w:rPr>
              <w:t>SAR 150,000 per project</w:t>
            </w:r>
          </w:p>
        </w:tc>
      </w:tr>
      <w:tr>
        <w:tc>
          <w:tcPr>
            <w:tcW w:type="dxa" w:w="4320"/>
          </w:tcPr>
          <w:p>
            <w:pPr>
              <w:jc w:val="left"/>
            </w:pPr>
            <w:r>
              <w:rPr>
                <w:rFonts w:ascii="Arial" w:hAnsi="Arial" w:eastAsia="Arial"/>
              </w:rPr>
              <w:t>General Reserve</w:t>
            </w:r>
          </w:p>
        </w:tc>
        <w:tc>
          <w:tcPr>
            <w:tcW w:type="dxa" w:w="4320"/>
          </w:tcPr>
          <w:p>
            <w:pPr>
              <w:jc w:val="left"/>
            </w:pPr>
            <w:r>
              <w:rPr>
                <w:rFonts w:ascii="Arial" w:hAnsi="Arial" w:eastAsia="Arial"/>
              </w:rPr>
              <w:t>SAR 2,500,000</w:t>
            </w:r>
          </w:p>
        </w:tc>
      </w:tr>
      <w:tr>
        <w:tc>
          <w:tcPr>
            <w:tcW w:type="dxa" w:w="4320"/>
          </w:tcPr>
          <w:p>
            <w:pPr>
              <w:jc w:val="left"/>
            </w:pPr>
            <w:r>
              <w:rPr>
                <w:rFonts w:ascii="Arial" w:hAnsi="Arial" w:eastAsia="Arial"/>
              </w:rPr>
              <w:t>Total Recommended Reserve</w:t>
            </w:r>
          </w:p>
        </w:tc>
        <w:tc>
          <w:tcPr>
            <w:tcW w:type="dxa" w:w="4320"/>
          </w:tcPr>
          <w:p>
            <w:pPr>
              <w:jc w:val="left"/>
            </w:pPr>
            <w:r>
              <w:rPr>
                <w:rFonts w:ascii="Arial" w:hAnsi="Arial" w:eastAsia="Arial"/>
              </w:rPr>
              <w:t>SAR 3,000,000</w:t>
            </w:r>
          </w:p>
        </w:tc>
      </w:tr>
    </w:tbl>
    <w:p>
      <w:r>
        <w:br w:type="page"/>
      </w:r>
    </w:p>
    <w:p>
      <w:pPr>
        <w:pStyle w:val="Heading1"/>
        <w:jc w:val="left"/>
      </w:pPr>
      <w:r>
        <w:rPr>
          <w:rFonts w:ascii="Arial" w:hAnsi="Arial" w:eastAsia="Arial"/>
          <w:color w:val="003366"/>
        </w:rPr>
        <w:t>12. Three Scenarios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A0F1A"/>
          </w:tcPr>
          <w:p>
            <w:pPr>
              <w:jc w:val="left"/>
            </w:pPr>
            <w:r>
              <w:rPr>
                <w:rFonts w:ascii="Arial" w:hAnsi="Arial" w:eastAsia="Arial"/>
                <w:b/>
                <w:color w:val="FFFFFF"/>
              </w:rPr>
              <w:t>Scenario</w:t>
            </w:r>
          </w:p>
        </w:tc>
        <w:tc>
          <w:tcPr>
            <w:tcW w:type="dxa" w:w="1728"/>
            <w:shd w:fill="0A0F1A"/>
          </w:tcPr>
          <w:p>
            <w:pPr>
              <w:jc w:val="left"/>
            </w:pPr>
            <w:r>
              <w:rPr>
                <w:rFonts w:ascii="Arial" w:hAnsi="Arial" w:eastAsia="Arial"/>
                <w:b/>
                <w:color w:val="FFFFFF"/>
              </w:rPr>
              <w:t>Y1 Projects</w:t>
            </w:r>
          </w:p>
        </w:tc>
        <w:tc>
          <w:tcPr>
            <w:tcW w:type="dxa" w:w="1728"/>
            <w:shd w:fill="0A0F1A"/>
          </w:tcPr>
          <w:p>
            <w:pPr>
              <w:jc w:val="left"/>
            </w:pPr>
            <w:r>
              <w:rPr>
                <w:rFonts w:ascii="Arial" w:hAnsi="Arial" w:eastAsia="Arial"/>
                <w:b/>
                <w:color w:val="FFFFFF"/>
              </w:rPr>
              <w:t>Cost</w:t>
            </w:r>
          </w:p>
        </w:tc>
        <w:tc>
          <w:tcPr>
            <w:tcW w:type="dxa" w:w="1728"/>
            <w:shd w:fill="0A0F1A"/>
          </w:tcPr>
          <w:p>
            <w:pPr>
              <w:jc w:val="left"/>
            </w:pPr>
            <w:r>
              <w:rPr>
                <w:rFonts w:ascii="Arial" w:hAnsi="Arial" w:eastAsia="Arial"/>
                <w:b/>
                <w:color w:val="FFFFFF"/>
              </w:rPr>
              <w:t>Sales</w:t>
            </w:r>
          </w:p>
        </w:tc>
        <w:tc>
          <w:tcPr>
            <w:tcW w:type="dxa" w:w="1728"/>
            <w:shd w:fill="0A0F1A"/>
          </w:tcPr>
          <w:p>
            <w:pPr>
              <w:jc w:val="left"/>
            </w:pPr>
            <w:r>
              <w:rPr>
                <w:rFonts w:ascii="Arial" w:hAnsi="Arial" w:eastAsia="Arial"/>
                <w:b/>
                <w:color w:val="FFFFFF"/>
              </w:rPr>
              <w:t>Y5 Profit</w:t>
            </w:r>
          </w:p>
        </w:tc>
      </w:tr>
      <w:tr>
        <w:tc>
          <w:tcPr>
            <w:tcW w:type="dxa" w:w="1728"/>
          </w:tcPr>
          <w:p>
            <w:pPr>
              <w:jc w:val="left"/>
            </w:pPr>
            <w:r>
              <w:rPr>
                <w:rFonts w:ascii="Arial" w:hAnsi="Arial" w:eastAsia="Arial"/>
              </w:rPr>
              <w:t>Scenario</w:t>
            </w:r>
          </w:p>
        </w:tc>
        <w:tc>
          <w:tcPr>
            <w:tcW w:type="dxa" w:w="1728"/>
          </w:tcPr>
          <w:p>
            <w:pPr>
              <w:jc w:val="left"/>
            </w:pPr>
            <w:r>
              <w:rPr>
                <w:rFonts w:ascii="Arial" w:hAnsi="Arial" w:eastAsia="Arial"/>
              </w:rPr>
              <w:t>Year 1 Projects</w:t>
            </w:r>
          </w:p>
        </w:tc>
        <w:tc>
          <w:tcPr>
            <w:tcW w:type="dxa" w:w="1728"/>
          </w:tcPr>
          <w:p>
            <w:pPr>
              <w:jc w:val="left"/>
            </w:pPr>
            <w:r>
              <w:rPr>
                <w:rFonts w:ascii="Arial" w:hAnsi="Arial" w:eastAsia="Arial"/>
              </w:rPr>
              <w:t>Finishing Cost</w:t>
            </w:r>
          </w:p>
        </w:tc>
        <w:tc>
          <w:tcPr>
            <w:tcW w:type="dxa" w:w="1728"/>
          </w:tcPr>
          <w:p>
            <w:pPr>
              <w:jc w:val="left"/>
            </w:pPr>
            <w:r>
              <w:rPr>
                <w:rFonts w:ascii="Arial" w:hAnsi="Arial" w:eastAsia="Arial"/>
              </w:rPr>
              <w:t>Sales Duration</w:t>
            </w:r>
          </w:p>
        </w:tc>
        <w:tc>
          <w:tcPr>
            <w:tcW w:type="dxa" w:w="1728"/>
          </w:tcPr>
          <w:p>
            <w:pPr>
              <w:jc w:val="left"/>
            </w:pPr>
            <w:r>
              <w:rPr>
                <w:rFonts w:ascii="Arial" w:hAnsi="Arial" w:eastAsia="Arial"/>
              </w:rPr>
              <w:t>Year 5 Net Profit</w:t>
            </w:r>
          </w:p>
        </w:tc>
      </w:tr>
      <w:tr>
        <w:tc>
          <w:tcPr>
            <w:tcW w:type="dxa" w:w="1728"/>
          </w:tcPr>
          <w:p>
            <w:pPr>
              <w:jc w:val="left"/>
            </w:pPr>
            <w:r>
              <w:rPr>
                <w:rFonts w:ascii="Arial" w:hAnsi="Arial" w:eastAsia="Arial"/>
              </w:rPr>
              <w:t>Pessimistic</w:t>
            </w:r>
          </w:p>
        </w:tc>
        <w:tc>
          <w:tcPr>
            <w:tcW w:type="dxa" w:w="1728"/>
          </w:tcPr>
          <w:p>
            <w:pPr>
              <w:jc w:val="left"/>
            </w:pPr>
            <w:r>
              <w:rPr>
                <w:rFonts w:ascii="Arial" w:hAnsi="Arial" w:eastAsia="Arial"/>
              </w:rPr>
              <w:t>1</w:t>
            </w:r>
          </w:p>
        </w:tc>
        <w:tc>
          <w:tcPr>
            <w:tcW w:type="dxa" w:w="1728"/>
          </w:tcPr>
          <w:p>
            <w:pPr>
              <w:jc w:val="left"/>
            </w:pPr>
            <w:r>
              <w:rPr>
                <w:rFonts w:ascii="Arial" w:hAnsi="Arial" w:eastAsia="Arial"/>
              </w:rPr>
              <w:t>+20% above expected</w:t>
            </w:r>
          </w:p>
        </w:tc>
        <w:tc>
          <w:tcPr>
            <w:tcW w:type="dxa" w:w="1728"/>
          </w:tcPr>
          <w:p>
            <w:pPr>
              <w:jc w:val="left"/>
            </w:pPr>
            <w:r>
              <w:rPr>
                <w:rFonts w:ascii="Arial" w:hAnsi="Arial" w:eastAsia="Arial"/>
              </w:rPr>
              <w:t>+12 months</w:t>
            </w:r>
          </w:p>
        </w:tc>
        <w:tc>
          <w:tcPr>
            <w:tcW w:type="dxa" w:w="1728"/>
          </w:tcPr>
          <w:p>
            <w:pPr>
              <w:jc w:val="left"/>
            </w:pPr>
            <w:r>
              <w:rPr>
                <w:rFonts w:ascii="Arial" w:hAnsi="Arial" w:eastAsia="Arial"/>
              </w:rPr>
              <w:t>SAR 3.0M</w:t>
            </w:r>
          </w:p>
        </w:tc>
      </w:tr>
      <w:tr>
        <w:tc>
          <w:tcPr>
            <w:tcW w:type="dxa" w:w="1728"/>
          </w:tcPr>
          <w:p>
            <w:pPr>
              <w:jc w:val="left"/>
            </w:pPr>
            <w:r>
              <w:rPr>
                <w:rFonts w:ascii="Arial" w:hAnsi="Arial" w:eastAsia="Arial"/>
              </w:rPr>
              <w:t>Base Case</w:t>
            </w:r>
          </w:p>
        </w:tc>
        <w:tc>
          <w:tcPr>
            <w:tcW w:type="dxa" w:w="1728"/>
          </w:tcPr>
          <w:p>
            <w:pPr>
              <w:jc w:val="left"/>
            </w:pPr>
            <w:r>
              <w:rPr>
                <w:rFonts w:ascii="Arial" w:hAnsi="Arial" w:eastAsia="Arial"/>
              </w:rPr>
              <w:t>2 - 3</w:t>
            </w:r>
          </w:p>
        </w:tc>
        <w:tc>
          <w:tcPr>
            <w:tcW w:type="dxa" w:w="1728"/>
          </w:tcPr>
          <w:p>
            <w:pPr>
              <w:jc w:val="left"/>
            </w:pPr>
            <w:r>
              <w:rPr>
                <w:rFonts w:ascii="Arial" w:hAnsi="Arial" w:eastAsia="Arial"/>
              </w:rPr>
              <w:t>As expected</w:t>
            </w:r>
          </w:p>
        </w:tc>
        <w:tc>
          <w:tcPr>
            <w:tcW w:type="dxa" w:w="1728"/>
          </w:tcPr>
          <w:p>
            <w:pPr>
              <w:jc w:val="left"/>
            </w:pPr>
            <w:r>
              <w:rPr>
                <w:rFonts w:ascii="Arial" w:hAnsi="Arial" w:eastAsia="Arial"/>
              </w:rPr>
              <w:t>3 - 6 months</w:t>
            </w:r>
          </w:p>
        </w:tc>
        <w:tc>
          <w:tcPr>
            <w:tcW w:type="dxa" w:w="1728"/>
          </w:tcPr>
          <w:p>
            <w:pPr>
              <w:jc w:val="left"/>
            </w:pPr>
            <w:r>
              <w:rPr>
                <w:rFonts w:ascii="Arial" w:hAnsi="Arial" w:eastAsia="Arial"/>
              </w:rPr>
              <w:t>SAR 10.4M</w:t>
            </w:r>
          </w:p>
        </w:tc>
      </w:tr>
      <w:tr>
        <w:tc>
          <w:tcPr>
            <w:tcW w:type="dxa" w:w="1728"/>
          </w:tcPr>
          <w:p>
            <w:pPr>
              <w:jc w:val="left"/>
            </w:pPr>
            <w:r>
              <w:rPr>
                <w:rFonts w:ascii="Arial" w:hAnsi="Arial" w:eastAsia="Arial"/>
              </w:rPr>
              <w:t>Optimistic</w:t>
            </w:r>
          </w:p>
        </w:tc>
        <w:tc>
          <w:tcPr>
            <w:tcW w:type="dxa" w:w="1728"/>
          </w:tcPr>
          <w:p>
            <w:pPr>
              <w:jc w:val="left"/>
            </w:pPr>
            <w:r>
              <w:rPr>
                <w:rFonts w:ascii="Arial" w:hAnsi="Arial" w:eastAsia="Arial"/>
              </w:rPr>
              <w:t>4</w:t>
            </w:r>
          </w:p>
        </w:tc>
        <w:tc>
          <w:tcPr>
            <w:tcW w:type="dxa" w:w="1728"/>
          </w:tcPr>
          <w:p>
            <w:pPr>
              <w:jc w:val="left"/>
            </w:pPr>
            <w:r>
              <w:rPr>
                <w:rFonts w:ascii="Arial" w:hAnsi="Arial" w:eastAsia="Arial"/>
              </w:rPr>
              <w:t>-10% below expected</w:t>
            </w:r>
          </w:p>
        </w:tc>
        <w:tc>
          <w:tcPr>
            <w:tcW w:type="dxa" w:w="1728"/>
          </w:tcPr>
          <w:p>
            <w:pPr>
              <w:jc w:val="left"/>
            </w:pPr>
            <w:r>
              <w:rPr>
                <w:rFonts w:ascii="Arial" w:hAnsi="Arial" w:eastAsia="Arial"/>
              </w:rPr>
              <w:t>3 months</w:t>
            </w:r>
          </w:p>
        </w:tc>
        <w:tc>
          <w:tcPr>
            <w:tcW w:type="dxa" w:w="1728"/>
          </w:tcPr>
          <w:p>
            <w:pPr>
              <w:jc w:val="left"/>
            </w:pPr>
            <w:r>
              <w:rPr>
                <w:rFonts w:ascii="Arial" w:hAnsi="Arial" w:eastAsia="Arial"/>
              </w:rPr>
              <w:t>SAR 14.0M</w:t>
            </w:r>
          </w:p>
        </w:tc>
      </w:tr>
    </w:tbl>
    <w:p>
      <w:pPr>
        <w:pStyle w:val="Heading2"/>
        <w:jc w:val="left"/>
      </w:pPr>
      <w:r>
        <w:rPr>
          <w:rFonts w:ascii="Arial" w:hAnsi="Arial" w:eastAsia="Arial"/>
          <w:color w:val="D4A853"/>
        </w:rPr>
        <w:t>Break-even by Scenario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Scenario</w:t>
            </w:r>
          </w:p>
        </w:tc>
        <w:tc>
          <w:tcPr>
            <w:tcW w:type="dxa" w:w="2880"/>
            <w:shd w:fill="0A0F1A"/>
          </w:tcPr>
          <w:p>
            <w:pPr>
              <w:jc w:val="left"/>
            </w:pPr>
            <w:r>
              <w:rPr>
                <w:rFonts w:ascii="Arial" w:hAnsi="Arial" w:eastAsia="Arial"/>
                <w:b/>
                <w:color w:val="FFFFFF"/>
              </w:rPr>
              <w:t>Annual</w:t>
            </w:r>
          </w:p>
        </w:tc>
        <w:tc>
          <w:tcPr>
            <w:tcW w:type="dxa" w:w="2880"/>
            <w:shd w:fill="0A0F1A"/>
          </w:tcPr>
          <w:p>
            <w:pPr>
              <w:jc w:val="left"/>
            </w:pPr>
            <w:r>
              <w:rPr>
                <w:rFonts w:ascii="Arial" w:hAnsi="Arial" w:eastAsia="Arial"/>
                <w:b/>
                <w:color w:val="FFFFFF"/>
              </w:rPr>
              <w:t>Cumulative</w:t>
            </w:r>
          </w:p>
        </w:tc>
      </w:tr>
      <w:tr>
        <w:tc>
          <w:tcPr>
            <w:tcW w:type="dxa" w:w="2880"/>
          </w:tcPr>
          <w:p>
            <w:pPr>
              <w:jc w:val="left"/>
            </w:pPr>
            <w:r>
              <w:rPr>
                <w:rFonts w:ascii="Arial" w:hAnsi="Arial" w:eastAsia="Arial"/>
              </w:rPr>
              <w:t>Scenario</w:t>
            </w:r>
          </w:p>
        </w:tc>
        <w:tc>
          <w:tcPr>
            <w:tcW w:type="dxa" w:w="2880"/>
          </w:tcPr>
          <w:p>
            <w:pPr>
              <w:jc w:val="left"/>
            </w:pPr>
            <w:r>
              <w:rPr>
                <w:rFonts w:ascii="Arial" w:hAnsi="Arial" w:eastAsia="Arial"/>
              </w:rPr>
              <w:t>Annual Break-even</w:t>
            </w:r>
          </w:p>
        </w:tc>
        <w:tc>
          <w:tcPr>
            <w:tcW w:type="dxa" w:w="2880"/>
          </w:tcPr>
          <w:p>
            <w:pPr>
              <w:jc w:val="left"/>
            </w:pPr>
            <w:r>
              <w:rPr>
                <w:rFonts w:ascii="Arial" w:hAnsi="Arial" w:eastAsia="Arial"/>
              </w:rPr>
              <w:t>Cumulative Break-even</w:t>
            </w:r>
          </w:p>
        </w:tc>
      </w:tr>
      <w:tr>
        <w:tc>
          <w:tcPr>
            <w:tcW w:type="dxa" w:w="2880"/>
          </w:tcPr>
          <w:p>
            <w:pPr>
              <w:jc w:val="left"/>
            </w:pPr>
            <w:r>
              <w:rPr>
                <w:rFonts w:ascii="Arial" w:hAnsi="Arial" w:eastAsia="Arial"/>
              </w:rPr>
              <w:t>Pessimistic</w:t>
            </w:r>
          </w:p>
        </w:tc>
        <w:tc>
          <w:tcPr>
            <w:tcW w:type="dxa" w:w="2880"/>
          </w:tcPr>
          <w:p>
            <w:pPr>
              <w:jc w:val="left"/>
            </w:pPr>
            <w:r>
              <w:rPr>
                <w:rFonts w:ascii="Arial" w:hAnsi="Arial" w:eastAsia="Arial"/>
              </w:rPr>
              <w:t>18 projects</w:t>
            </w:r>
          </w:p>
        </w:tc>
        <w:tc>
          <w:tcPr>
            <w:tcW w:type="dxa" w:w="2880"/>
          </w:tcPr>
          <w:p>
            <w:pPr>
              <w:jc w:val="left"/>
            </w:pPr>
            <w:r>
              <w:rPr>
                <w:rFonts w:ascii="Arial" w:hAnsi="Arial" w:eastAsia="Arial"/>
              </w:rPr>
              <w:t>54 projects</w:t>
            </w:r>
          </w:p>
        </w:tc>
      </w:tr>
      <w:tr>
        <w:tc>
          <w:tcPr>
            <w:tcW w:type="dxa" w:w="2880"/>
          </w:tcPr>
          <w:p>
            <w:pPr>
              <w:jc w:val="left"/>
            </w:pPr>
            <w:r>
              <w:rPr>
                <w:rFonts w:ascii="Arial" w:hAnsi="Arial" w:eastAsia="Arial"/>
              </w:rPr>
              <w:t>Base Case</w:t>
            </w:r>
          </w:p>
        </w:tc>
        <w:tc>
          <w:tcPr>
            <w:tcW w:type="dxa" w:w="2880"/>
          </w:tcPr>
          <w:p>
            <w:pPr>
              <w:jc w:val="left"/>
            </w:pPr>
            <w:r>
              <w:rPr>
                <w:rFonts w:ascii="Arial" w:hAnsi="Arial" w:eastAsia="Arial"/>
              </w:rPr>
              <w:t>6 projects</w:t>
            </w:r>
          </w:p>
        </w:tc>
        <w:tc>
          <w:tcPr>
            <w:tcW w:type="dxa" w:w="2880"/>
          </w:tcPr>
          <w:p>
            <w:pPr>
              <w:jc w:val="left"/>
            </w:pPr>
            <w:r>
              <w:rPr>
                <w:rFonts w:ascii="Arial" w:hAnsi="Arial" w:eastAsia="Arial"/>
              </w:rPr>
              <w:t>20 projects</w:t>
            </w:r>
          </w:p>
        </w:tc>
      </w:tr>
      <w:tr>
        <w:tc>
          <w:tcPr>
            <w:tcW w:type="dxa" w:w="2880"/>
          </w:tcPr>
          <w:p>
            <w:pPr>
              <w:jc w:val="left"/>
            </w:pPr>
            <w:r>
              <w:rPr>
                <w:rFonts w:ascii="Arial" w:hAnsi="Arial" w:eastAsia="Arial"/>
              </w:rPr>
              <w:t>Optimistic</w:t>
            </w:r>
          </w:p>
        </w:tc>
        <w:tc>
          <w:tcPr>
            <w:tcW w:type="dxa" w:w="2880"/>
          </w:tcPr>
          <w:p>
            <w:pPr>
              <w:jc w:val="left"/>
            </w:pPr>
            <w:r>
              <w:rPr>
                <w:rFonts w:ascii="Arial" w:hAnsi="Arial" w:eastAsia="Arial"/>
              </w:rPr>
              <w:t>10 projects</w:t>
            </w:r>
          </w:p>
        </w:tc>
        <w:tc>
          <w:tcPr>
            <w:tcW w:type="dxa" w:w="2880"/>
          </w:tcPr>
          <w:p>
            <w:pPr>
              <w:jc w:val="left"/>
            </w:pPr>
            <w:r>
              <w:rPr>
                <w:rFonts w:ascii="Arial" w:hAnsi="Arial" w:eastAsia="Arial"/>
              </w:rPr>
              <w:t>20 projects</w:t>
            </w:r>
          </w:p>
        </w:tc>
      </w:tr>
    </w:tbl>
    <w:p>
      <w:r>
        <w:br w:type="page"/>
      </w:r>
    </w:p>
    <w:p>
      <w:pPr>
        <w:pStyle w:val="Heading1"/>
        <w:jc w:val="left"/>
      </w:pPr>
      <w:r>
        <w:rPr>
          <w:rFonts w:ascii="Arial" w:hAnsi="Arial" w:eastAsia="Arial"/>
          <w:color w:val="003366"/>
        </w:rPr>
        <w:t>13. Marketing and Sales Plan</w:t>
      </w:r>
    </w:p>
    <w:p>
      <w:pPr>
        <w:pStyle w:val="Heading2"/>
        <w:jc w:val="left"/>
      </w:pPr>
      <w:r>
        <w:rPr>
          <w:rFonts w:ascii="Arial" w:hAnsi="Arial" w:eastAsia="Arial"/>
          <w:color w:val="D4A853"/>
        </w:rPr>
        <w:t>13.1 Digital Marketing Strategy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A0F1A"/>
          </w:tcPr>
          <w:p>
            <w:pPr>
              <w:jc w:val="left"/>
            </w:pPr>
            <w:r>
              <w:rPr>
                <w:rFonts w:ascii="Arial" w:hAnsi="Arial" w:eastAsia="Arial"/>
                <w:b/>
                <w:color w:val="FFFFFF"/>
              </w:rPr>
              <w:t>Channel</w:t>
            </w:r>
          </w:p>
        </w:tc>
        <w:tc>
          <w:tcPr>
            <w:tcW w:type="dxa" w:w="2880"/>
            <w:shd w:fill="0A0F1A"/>
          </w:tcPr>
          <w:p>
            <w:pPr>
              <w:jc w:val="left"/>
            </w:pPr>
            <w:r>
              <w:rPr>
                <w:rFonts w:ascii="Arial" w:hAnsi="Arial" w:eastAsia="Arial"/>
                <w:b/>
                <w:color w:val="FFFFFF"/>
              </w:rPr>
              <w:t>Objective</w:t>
            </w:r>
          </w:p>
        </w:tc>
        <w:tc>
          <w:tcPr>
            <w:tcW w:type="dxa" w:w="2880"/>
            <w:shd w:fill="0A0F1A"/>
          </w:tcPr>
          <w:p>
            <w:pPr>
              <w:jc w:val="left"/>
            </w:pPr>
            <w:r>
              <w:rPr>
                <w:rFonts w:ascii="Arial" w:hAnsi="Arial" w:eastAsia="Arial"/>
                <w:b/>
                <w:color w:val="FFFFFF"/>
              </w:rPr>
              <w:t>Budget</w:t>
            </w:r>
          </w:p>
        </w:tc>
      </w:tr>
      <w:tr>
        <w:tc>
          <w:tcPr>
            <w:tcW w:type="dxa" w:w="2880"/>
          </w:tcPr>
          <w:p>
            <w:pPr>
              <w:jc w:val="left"/>
            </w:pPr>
            <w:r>
              <w:rPr>
                <w:rFonts w:ascii="Arial" w:hAnsi="Arial" w:eastAsia="Arial"/>
              </w:rPr>
              <w:t>Channel</w:t>
            </w:r>
          </w:p>
        </w:tc>
        <w:tc>
          <w:tcPr>
            <w:tcW w:type="dxa" w:w="2880"/>
          </w:tcPr>
          <w:p>
            <w:pPr>
              <w:jc w:val="left"/>
            </w:pPr>
            <w:r>
              <w:rPr>
                <w:rFonts w:ascii="Arial" w:hAnsi="Arial" w:eastAsia="Arial"/>
              </w:rPr>
              <w:t>Objective</w:t>
            </w:r>
          </w:p>
        </w:tc>
        <w:tc>
          <w:tcPr>
            <w:tcW w:type="dxa" w:w="2880"/>
          </w:tcPr>
          <w:p>
            <w:pPr>
              <w:jc w:val="left"/>
            </w:pPr>
            <w:r>
              <w:rPr>
                <w:rFonts w:ascii="Arial" w:hAnsi="Arial" w:eastAsia="Arial"/>
              </w:rPr>
              <w:t>Monthly Budget (SAR)</w:t>
            </w:r>
          </w:p>
        </w:tc>
      </w:tr>
      <w:tr>
        <w:tc>
          <w:tcPr>
            <w:tcW w:type="dxa" w:w="2880"/>
          </w:tcPr>
          <w:p>
            <w:pPr>
              <w:jc w:val="left"/>
            </w:pPr>
            <w:r>
              <w:rPr>
                <w:rFonts w:ascii="Arial" w:hAnsi="Arial" w:eastAsia="Arial"/>
              </w:rPr>
              <w:t>Google Ads</w:t>
            </w:r>
          </w:p>
        </w:tc>
        <w:tc>
          <w:tcPr>
            <w:tcW w:type="dxa" w:w="2880"/>
          </w:tcPr>
          <w:p>
            <w:pPr>
              <w:jc w:val="left"/>
            </w:pPr>
            <w:r>
              <w:rPr>
                <w:rFonts w:ascii="Arial" w:hAnsi="Arial" w:eastAsia="Arial"/>
              </w:rPr>
              <w:t>Reach owners of incomplete buildings</w:t>
            </w:r>
          </w:p>
        </w:tc>
        <w:tc>
          <w:tcPr>
            <w:tcW w:type="dxa" w:w="2880"/>
          </w:tcPr>
          <w:p>
            <w:pPr>
              <w:jc w:val="left"/>
            </w:pPr>
            <w:r>
              <w:rPr>
                <w:rFonts w:ascii="Arial" w:hAnsi="Arial" w:eastAsia="Arial"/>
              </w:rPr>
              <w:t>10,000</w:t>
            </w:r>
          </w:p>
        </w:tc>
      </w:tr>
      <w:tr>
        <w:tc>
          <w:tcPr>
            <w:tcW w:type="dxa" w:w="2880"/>
          </w:tcPr>
          <w:p>
            <w:pPr>
              <w:jc w:val="left"/>
            </w:pPr>
            <w:r>
              <w:rPr>
                <w:rFonts w:ascii="Arial" w:hAnsi="Arial" w:eastAsia="Arial"/>
              </w:rPr>
              <w:t>Snapchat Ads</w:t>
            </w:r>
          </w:p>
        </w:tc>
        <w:tc>
          <w:tcPr>
            <w:tcW w:type="dxa" w:w="2880"/>
          </w:tcPr>
          <w:p>
            <w:pPr>
              <w:jc w:val="left"/>
            </w:pPr>
            <w:r>
              <w:rPr>
                <w:rFonts w:ascii="Arial" w:hAnsi="Arial" w:eastAsia="Arial"/>
              </w:rPr>
              <w:t>Target age group 25-45</w:t>
            </w:r>
          </w:p>
        </w:tc>
        <w:tc>
          <w:tcPr>
            <w:tcW w:type="dxa" w:w="2880"/>
          </w:tcPr>
          <w:p>
            <w:pPr>
              <w:jc w:val="left"/>
            </w:pPr>
            <w:r>
              <w:rPr>
                <w:rFonts w:ascii="Arial" w:hAnsi="Arial" w:eastAsia="Arial"/>
              </w:rPr>
              <w:t>8,000</w:t>
            </w:r>
          </w:p>
        </w:tc>
      </w:tr>
      <w:tr>
        <w:tc>
          <w:tcPr>
            <w:tcW w:type="dxa" w:w="2880"/>
          </w:tcPr>
          <w:p>
            <w:pPr>
              <w:jc w:val="left"/>
            </w:pPr>
            <w:r>
              <w:rPr>
                <w:rFonts w:ascii="Arial" w:hAnsi="Arial" w:eastAsia="Arial"/>
              </w:rPr>
              <w:t>Instagram / TikTok</w:t>
            </w:r>
          </w:p>
        </w:tc>
        <w:tc>
          <w:tcPr>
            <w:tcW w:type="dxa" w:w="2880"/>
          </w:tcPr>
          <w:p>
            <w:pPr>
              <w:jc w:val="left"/>
            </w:pPr>
            <w:r>
              <w:rPr>
                <w:rFonts w:ascii="Arial" w:hAnsi="Arial" w:eastAsia="Arial"/>
              </w:rPr>
              <w:t>Showcase before/after projects</w:t>
            </w:r>
          </w:p>
        </w:tc>
        <w:tc>
          <w:tcPr>
            <w:tcW w:type="dxa" w:w="2880"/>
          </w:tcPr>
          <w:p>
            <w:pPr>
              <w:jc w:val="left"/>
            </w:pPr>
            <w:r>
              <w:rPr>
                <w:rFonts w:ascii="Arial" w:hAnsi="Arial" w:eastAsia="Arial"/>
              </w:rPr>
              <w:t>5,000</w:t>
            </w:r>
          </w:p>
        </w:tc>
      </w:tr>
      <w:tr>
        <w:tc>
          <w:tcPr>
            <w:tcW w:type="dxa" w:w="2880"/>
          </w:tcPr>
          <w:p>
            <w:pPr>
              <w:jc w:val="left"/>
            </w:pPr>
            <w:r>
              <w:rPr>
                <w:rFonts w:ascii="Arial" w:hAnsi="Arial" w:eastAsia="Arial"/>
              </w:rPr>
              <w:t>SEO</w:t>
            </w:r>
          </w:p>
        </w:tc>
        <w:tc>
          <w:tcPr>
            <w:tcW w:type="dxa" w:w="2880"/>
          </w:tcPr>
          <w:p>
            <w:pPr>
              <w:jc w:val="left"/>
            </w:pPr>
            <w:r>
              <w:rPr>
                <w:rFonts w:ascii="Arial" w:hAnsi="Arial" w:eastAsia="Arial"/>
              </w:rPr>
              <w:t>Rank for "building revitalization"</w:t>
            </w:r>
          </w:p>
        </w:tc>
        <w:tc>
          <w:tcPr>
            <w:tcW w:type="dxa" w:w="2880"/>
          </w:tcPr>
          <w:p>
            <w:pPr>
              <w:jc w:val="left"/>
            </w:pPr>
            <w:r>
              <w:rPr>
                <w:rFonts w:ascii="Arial" w:hAnsi="Arial" w:eastAsia="Arial"/>
              </w:rPr>
              <w:t>3,000</w:t>
            </w:r>
          </w:p>
        </w:tc>
      </w:tr>
      <w:tr>
        <w:tc>
          <w:tcPr>
            <w:tcW w:type="dxa" w:w="2880"/>
          </w:tcPr>
          <w:p>
            <w:pPr>
              <w:jc w:val="left"/>
            </w:pPr>
            <w:r>
              <w:rPr>
                <w:rFonts w:ascii="Arial" w:hAnsi="Arial" w:eastAsia="Arial"/>
              </w:rPr>
              <w:t>LinkedIn</w:t>
            </w:r>
          </w:p>
        </w:tc>
        <w:tc>
          <w:tcPr>
            <w:tcW w:type="dxa" w:w="2880"/>
          </w:tcPr>
          <w:p>
            <w:pPr>
              <w:jc w:val="left"/>
            </w:pPr>
            <w:r>
              <w:rPr>
                <w:rFonts w:ascii="Arial" w:hAnsi="Arial" w:eastAsia="Arial"/>
              </w:rPr>
              <w:t>Reach investors and owners</w:t>
            </w:r>
          </w:p>
        </w:tc>
        <w:tc>
          <w:tcPr>
            <w:tcW w:type="dxa" w:w="2880"/>
          </w:tcPr>
          <w:p>
            <w:pPr>
              <w:jc w:val="left"/>
            </w:pPr>
            <w:r>
              <w:rPr>
                <w:rFonts w:ascii="Arial" w:hAnsi="Arial" w:eastAsia="Arial"/>
              </w:rPr>
              <w:t>2,000</w:t>
            </w:r>
          </w:p>
        </w:tc>
      </w:tr>
    </w:tbl>
    <w:p>
      <w:pPr>
        <w:pStyle w:val="Heading2"/>
        <w:jc w:val="left"/>
      </w:pPr>
      <w:r>
        <w:rPr>
          <w:rFonts w:ascii="Arial" w:hAnsi="Arial" w:eastAsia="Arial"/>
          <w:color w:val="D4A853"/>
        </w:rPr>
        <w:t>13.2 Sales Funnel</w:t>
      </w:r>
    </w:p>
    <w:p>
      <w:pPr>
        <w:pStyle w:val="ListBullet"/>
        <w:jc w:val="left"/>
      </w:pPr>
      <w:r>
        <w:rPr>
          <w:rFonts w:ascii="Arial" w:hAnsi="Arial" w:eastAsia="Arial"/>
          <w:sz w:val="22"/>
        </w:rPr>
        <w:t>Awareness: 100,000 people/month</w:t>
      </w:r>
    </w:p>
    <w:p>
      <w:pPr>
        <w:pStyle w:val="ListBullet"/>
        <w:jc w:val="left"/>
      </w:pPr>
      <w:r>
        <w:rPr>
          <w:rFonts w:ascii="Arial" w:hAnsi="Arial" w:eastAsia="Arial"/>
          <w:sz w:val="22"/>
        </w:rPr>
        <w:t>Interest: 5,000 people/month</w:t>
      </w:r>
    </w:p>
    <w:p>
      <w:pPr>
        <w:pStyle w:val="ListBullet"/>
        <w:jc w:val="left"/>
      </w:pPr>
      <w:r>
        <w:rPr>
          <w:rFonts w:ascii="Arial" w:hAnsi="Arial" w:eastAsia="Arial"/>
          <w:sz w:val="22"/>
        </w:rPr>
        <w:t>Evaluation: 500 owners/month</w:t>
      </w:r>
    </w:p>
    <w:p>
      <w:pPr>
        <w:pStyle w:val="ListBullet"/>
        <w:jc w:val="left"/>
      </w:pPr>
      <w:r>
        <w:rPr>
          <w:rFonts w:ascii="Arial" w:hAnsi="Arial" w:eastAsia="Arial"/>
          <w:sz w:val="22"/>
        </w:rPr>
        <w:t>Intent: 50 meetings/month</w:t>
      </w:r>
    </w:p>
    <w:p>
      <w:pPr>
        <w:pStyle w:val="ListBullet"/>
        <w:jc w:val="left"/>
      </w:pPr>
      <w:r>
        <w:rPr>
          <w:rFonts w:ascii="Arial" w:hAnsi="Arial" w:eastAsia="Arial"/>
          <w:sz w:val="22"/>
        </w:rPr>
        <w:t>Purchase: 2-4 contracts/month</w:t>
      </w:r>
    </w:p>
    <w:p>
      <w:r>
        <w:br w:type="page"/>
      </w:r>
    </w:p>
    <w:p>
      <w:pPr>
        <w:pStyle w:val="Heading1"/>
        <w:jc w:val="left"/>
      </w:pPr>
      <w:r>
        <w:rPr>
          <w:rFonts w:ascii="Arial" w:hAnsi="Arial" w:eastAsia="Arial"/>
          <w:color w:val="003366"/>
        </w:rPr>
        <w:t>14. Operations and Quality Plan</w:t>
      </w:r>
    </w:p>
    <w:p>
      <w:pPr>
        <w:jc w:val="left"/>
      </w:pPr>
      <w:r>
        <w:rPr>
          <w:rFonts w:ascii="Arial" w:hAnsi="Arial" w:eastAsia="Arial"/>
          <w:b w:val="0"/>
          <w:i w:val="0"/>
          <w:sz w:val="24"/>
        </w:rPr>
        <w:t>The company follows strict quality standards and Saudi Building Code compliance. Each project goes through six phases with documented inspections and approvals.</w:t>
      </w:r>
    </w:p>
    <w:p>
      <w:pPr>
        <w:pStyle w:val="Heading2"/>
        <w:jc w:val="left"/>
      </w:pPr>
      <w:r>
        <w:rPr>
          <w:rFonts w:ascii="Arial" w:hAnsi="Arial" w:eastAsia="Arial"/>
          <w:color w:val="D4A853"/>
        </w:rPr>
        <w:t>Quality Standards</w:t>
      </w:r>
    </w:p>
    <w:p>
      <w:pPr>
        <w:pStyle w:val="ListBullet"/>
        <w:jc w:val="left"/>
      </w:pPr>
      <w:r>
        <w:rPr>
          <w:rFonts w:ascii="Arial" w:hAnsi="Arial" w:eastAsia="Arial"/>
          <w:sz w:val="22"/>
        </w:rPr>
        <w:t>Full compliance with Saudi Building Code (SBC).</w:t>
      </w:r>
    </w:p>
    <w:p>
      <w:pPr>
        <w:pStyle w:val="ListBullet"/>
        <w:jc w:val="left"/>
      </w:pPr>
      <w:r>
        <w:rPr>
          <w:rFonts w:ascii="Arial" w:hAnsi="Arial" w:eastAsia="Arial"/>
          <w:sz w:val="22"/>
        </w:rPr>
        <w:t>Quality inspections at every finishing phase.</w:t>
      </w:r>
    </w:p>
    <w:p>
      <w:pPr>
        <w:pStyle w:val="ListBullet"/>
        <w:jc w:val="left"/>
      </w:pPr>
      <w:r>
        <w:rPr>
          <w:rFonts w:ascii="Arial" w:hAnsi="Arial" w:eastAsia="Arial"/>
          <w:sz w:val="22"/>
        </w:rPr>
        <w:t>Documentation of all materials and compliance certificates.</w:t>
      </w:r>
    </w:p>
    <w:p>
      <w:pPr>
        <w:pStyle w:val="ListBullet"/>
        <w:jc w:val="left"/>
      </w:pPr>
      <w:r>
        <w:rPr>
          <w:rFonts w:ascii="Arial" w:hAnsi="Arial" w:eastAsia="Arial"/>
          <w:sz w:val="22"/>
        </w:rPr>
        <w:t>Final handover with complete technical and legal file.</w:t>
      </w:r>
    </w:p>
    <w:p>
      <w:pPr>
        <w:pStyle w:val="Heading2"/>
        <w:jc w:val="left"/>
      </w:pPr>
      <w:r>
        <w:rPr>
          <w:rFonts w:ascii="Arial" w:hAnsi="Arial" w:eastAsia="Arial"/>
          <w:color w:val="D4A853"/>
        </w:rPr>
        <w:t>Insurance Coverage</w:t>
      </w:r>
    </w:p>
    <w:p>
      <w:pPr>
        <w:pStyle w:val="ListBullet"/>
        <w:jc w:val="left"/>
      </w:pPr>
      <w:r>
        <w:rPr>
          <w:rFonts w:ascii="Arial" w:hAnsi="Arial" w:eastAsia="Arial"/>
          <w:sz w:val="22"/>
        </w:rPr>
        <w:t>Contractors All Risk (CAR) insurance.</w:t>
      </w:r>
    </w:p>
    <w:p>
      <w:pPr>
        <w:pStyle w:val="ListBullet"/>
        <w:jc w:val="left"/>
      </w:pPr>
      <w:r>
        <w:rPr>
          <w:rFonts w:ascii="Arial" w:hAnsi="Arial" w:eastAsia="Arial"/>
          <w:sz w:val="22"/>
        </w:rPr>
        <w:t>General public liability insurance.</w:t>
      </w:r>
    </w:p>
    <w:p>
      <w:pPr>
        <w:pStyle w:val="ListBullet"/>
        <w:jc w:val="left"/>
      </w:pPr>
      <w:r>
        <w:rPr>
          <w:rFonts w:ascii="Arial" w:hAnsi="Arial" w:eastAsia="Arial"/>
          <w:sz w:val="22"/>
        </w:rPr>
        <w:t>Hidden defects insurance.</w:t>
      </w:r>
    </w:p>
    <w:p>
      <w:pPr>
        <w:pStyle w:val="ListBullet"/>
        <w:jc w:val="left"/>
      </w:pPr>
      <w:r>
        <w:rPr>
          <w:rFonts w:ascii="Arial" w:hAnsi="Arial" w:eastAsia="Arial"/>
          <w:sz w:val="22"/>
        </w:rPr>
        <w:t>Professional liability insurance for engineers.</w:t>
      </w:r>
    </w:p>
    <w:p>
      <w:r>
        <w:br w:type="page"/>
      </w:r>
    </w:p>
    <w:p>
      <w:pPr>
        <w:pStyle w:val="Heading1"/>
        <w:jc w:val="left"/>
      </w:pPr>
      <w:r>
        <w:rPr>
          <w:rFonts w:ascii="Arial" w:hAnsi="Arial" w:eastAsia="Arial"/>
          <w:color w:val="003366"/>
        </w:rPr>
        <w:t>15. Conclusion and Recommendations</w:t>
      </w:r>
    </w:p>
    <w:p>
      <w:pPr>
        <w:jc w:val="left"/>
      </w:pPr>
      <w:r>
        <w:rPr>
          <w:rFonts w:ascii="Arial" w:hAnsi="Arial" w:eastAsia="Arial"/>
          <w:b w:val="0"/>
          <w:i w:val="0"/>
          <w:sz w:val="24"/>
        </w:rPr>
        <w:t>The Real Estate Asset Revitalization Company presents an attractive investment opportunity in the Saudi real estate market. The hybrid partnership model eliminates land purchase requirements and reduces initial capital needs while offering attractive returns.</w:t>
      </w:r>
    </w:p>
    <w:p>
      <w:pPr>
        <w:pStyle w:val="Heading2"/>
        <w:jc w:val="left"/>
      </w:pPr>
      <w:r>
        <w:rPr>
          <w:rFonts w:ascii="Arial" w:hAnsi="Arial" w:eastAsia="Arial"/>
          <w:color w:val="D4A853"/>
        </w:rPr>
        <w:t>Key Recommendations</w:t>
      </w:r>
    </w:p>
    <w:p>
      <w:pPr>
        <w:pStyle w:val="ListBullet"/>
        <w:jc w:val="left"/>
      </w:pPr>
      <w:r>
        <w:rPr>
          <w:rFonts w:ascii="Arial" w:hAnsi="Arial" w:eastAsia="Arial"/>
          <w:sz w:val="22"/>
        </w:rPr>
        <w:t>Start with a pilot phase of SAR 25 million and 3-5 benchmark projects.</w:t>
      </w:r>
    </w:p>
    <w:p>
      <w:pPr>
        <w:pStyle w:val="ListBullet"/>
        <w:jc w:val="left"/>
      </w:pPr>
      <w:r>
        <w:rPr>
          <w:rFonts w:ascii="Arial" w:hAnsi="Arial" w:eastAsia="Arial"/>
          <w:sz w:val="22"/>
        </w:rPr>
        <w:t>Focus on one city (Riyadh or Jeddah) in the first years.</w:t>
      </w:r>
    </w:p>
    <w:p>
      <w:pPr>
        <w:pStyle w:val="ListBullet"/>
        <w:jc w:val="left"/>
      </w:pPr>
      <w:r>
        <w:rPr>
          <w:rFonts w:ascii="Arial" w:hAnsi="Arial" w:eastAsia="Arial"/>
          <w:sz w:val="22"/>
        </w:rPr>
        <w:t>Build a database of incomplete assets before official launch.</w:t>
      </w:r>
    </w:p>
    <w:p>
      <w:pPr>
        <w:pStyle w:val="ListBullet"/>
        <w:jc w:val="left"/>
      </w:pPr>
      <w:r>
        <w:rPr>
          <w:rFonts w:ascii="Arial" w:hAnsi="Arial" w:eastAsia="Arial"/>
          <w:sz w:val="22"/>
        </w:rPr>
        <w:t>Partner with certified contractors providing bank guarantees.</w:t>
      </w:r>
    </w:p>
    <w:p>
      <w:pPr>
        <w:pStyle w:val="ListBullet"/>
        <w:jc w:val="left"/>
      </w:pPr>
      <w:r>
        <w:rPr>
          <w:rFonts w:ascii="Arial" w:hAnsi="Arial" w:eastAsia="Arial"/>
          <w:sz w:val="22"/>
        </w:rPr>
        <w:t>Include binding arbitration clauses in all contracts.</w:t>
      </w:r>
    </w:p>
    <w:p>
      <w:pPr>
        <w:pStyle w:val="ListBullet"/>
        <w:jc w:val="left"/>
      </w:pPr>
      <w:r>
        <w:rPr>
          <w:rFonts w:ascii="Arial" w:hAnsi="Arial" w:eastAsia="Arial"/>
          <w:sz w:val="22"/>
        </w:rPr>
        <w:t>Develop an ERP system for portfolio and cash flow management.</w:t>
      </w:r>
    </w:p>
    <w:p>
      <w:pPr>
        <w:pStyle w:val="ListBullet"/>
        <w:jc w:val="left"/>
      </w:pPr>
      <w:r>
        <w:rPr>
          <w:rFonts w:ascii="Arial" w:hAnsi="Arial" w:eastAsia="Arial"/>
          <w:sz w:val="22"/>
        </w:rPr>
        <w:t>Prepare standardized Muhassah contracts protecting all parties.</w:t>
      </w:r>
    </w:p>
    <w:p>
      <w:pPr>
        <w:pStyle w:val="Heading2"/>
        <w:jc w:val="left"/>
      </w:pPr>
      <w:r>
        <w:rPr>
          <w:rFonts w:ascii="Arial" w:hAnsi="Arial" w:eastAsia="Arial"/>
          <w:color w:val="D4A853"/>
        </w:rPr>
        <w:t>Investment Decision Matrix</w:t>
      </w:r>
    </w:p>
    <w:p>
      <w:pPr>
        <w:jc w:val="left"/>
      </w:pPr>
      <w:r>
        <w:rPr>
          <w:rFonts w:ascii="Arial" w:hAnsi="Arial" w:eastAsia="Arial"/>
          <w:b w:val="0"/>
          <w:i w:val="0"/>
          <w:sz w:val="24"/>
        </w:rPr>
        <w:t>This project is suitable for investors who understand that real estate requires patience over 5-7 years, accept a foundational first year, and appreciate calculated risks with 18.5% expected IRR and 2.5x-4x capital return at exit.</w:t>
      </w:r>
    </w:p>
    <w:p>
      <w:r>
        <w:br w:type="page"/>
      </w:r>
    </w:p>
    <w:p>
      <w:pPr>
        <w:pStyle w:val="Heading1"/>
        <w:jc w:val="left"/>
      </w:pPr>
      <w:r>
        <w:rPr>
          <w:rFonts w:ascii="Arial" w:hAnsi="Arial" w:eastAsia="Arial"/>
          <w:color w:val="003366"/>
        </w:rPr>
        <w:t>16. Market Enrichments</w:t>
      </w:r>
    </w:p>
    <w:p>
      <w:pPr>
        <w:jc w:val="left"/>
      </w:pPr>
      <w:r>
        <w:rPr>
          <w:rFonts w:ascii="Arial" w:hAnsi="Arial" w:eastAsia="Arial"/>
          <w:b w:val="0"/>
          <w:i w:val="0"/>
          <w:sz w:val="24"/>
        </w:rPr>
        <w:t>The company can explore additional value-adding opportunities:</w:t>
      </w:r>
    </w:p>
    <w:p>
      <w:pPr>
        <w:pStyle w:val="ListBullet"/>
        <w:jc w:val="left"/>
      </w:pPr>
      <w:r>
        <w:rPr>
          <w:rFonts w:ascii="Arial" w:hAnsi="Arial" w:eastAsia="Arial"/>
          <w:sz w:val="22"/>
        </w:rPr>
        <w:t>Real Estate Sukuk: Asset-backed Islamic bonds for portfolio expansion after building a track record.</w:t>
      </w:r>
    </w:p>
    <w:p>
      <w:pPr>
        <w:pStyle w:val="ListBullet"/>
        <w:jc w:val="left"/>
      </w:pPr>
      <w:r>
        <w:rPr>
          <w:rFonts w:ascii="Arial" w:hAnsi="Arial" w:eastAsia="Arial"/>
          <w:sz w:val="22"/>
        </w:rPr>
        <w:t>Real Estate Crowdfunding: Partnering with licensed platforms to diversify funding sources.</w:t>
      </w:r>
    </w:p>
    <w:p>
      <w:pPr>
        <w:pStyle w:val="ListBullet"/>
        <w:jc w:val="left"/>
      </w:pPr>
      <w:r>
        <w:rPr>
          <w:rFonts w:ascii="Arial" w:hAnsi="Arial" w:eastAsia="Arial"/>
          <w:sz w:val="22"/>
        </w:rPr>
        <w:t>Smart Building Technology: KNX and green building solutions to differentiate projects and accelerate sales.</w:t>
      </w:r>
    </w:p>
    <w:p>
      <w:pPr>
        <w:pStyle w:val="ListBullet"/>
        <w:jc w:val="left"/>
      </w:pPr>
      <w:r>
        <w:rPr>
          <w:rFonts w:ascii="Arial" w:hAnsi="Arial" w:eastAsia="Arial"/>
          <w:sz w:val="22"/>
        </w:rPr>
        <w:t>Legal Execution Procedures: Clear understanding of enforcement procedures through Ministry of Justice platforms.</w:t>
      </w:r>
    </w:p>
    <w:p>
      <w:r>
        <w:br w:type="page"/>
      </w:r>
    </w:p>
    <w:p>
      <w:pPr>
        <w:pStyle w:val="Heading1"/>
        <w:jc w:val="left"/>
      </w:pPr>
      <w:r>
        <w:rPr>
          <w:rFonts w:ascii="Arial" w:hAnsi="Arial" w:eastAsia="Arial"/>
          <w:color w:val="003366"/>
        </w:rPr>
        <w:t>17. References and Sources</w:t>
      </w:r>
    </w:p>
    <w:p>
      <w:pPr>
        <w:pStyle w:val="Heading2"/>
        <w:jc w:val="left"/>
      </w:pPr>
      <w:r>
        <w:rPr>
          <w:rFonts w:ascii="Arial" w:hAnsi="Arial" w:eastAsia="Arial"/>
          <w:color w:val="D4A853"/>
        </w:rPr>
        <w:t>Official Saudi Sources</w:t>
      </w:r>
    </w:p>
    <w:p>
      <w:pPr>
        <w:pStyle w:val="ListBullet"/>
        <w:jc w:val="left"/>
      </w:pPr>
      <w:r>
        <w:rPr>
          <w:rFonts w:ascii="Arial" w:hAnsi="Arial" w:eastAsia="Arial"/>
          <w:sz w:val="22"/>
        </w:rPr>
        <w:t>Saudi Central Bank (SAMA) - Real estate financing statistics</w:t>
      </w:r>
    </w:p>
    <w:p>
      <w:pPr>
        <w:pStyle w:val="ListBullet"/>
        <w:jc w:val="left"/>
      </w:pPr>
      <w:r>
        <w:rPr>
          <w:rFonts w:ascii="Arial" w:hAnsi="Arial" w:eastAsia="Arial"/>
          <w:sz w:val="22"/>
        </w:rPr>
        <w:t>Real Estate General Authority (REGA) - Price indices and licenses</w:t>
      </w:r>
    </w:p>
    <w:p>
      <w:pPr>
        <w:pStyle w:val="ListBullet"/>
        <w:jc w:val="left"/>
      </w:pPr>
      <w:r>
        <w:rPr>
          <w:rFonts w:ascii="Arial" w:hAnsi="Arial" w:eastAsia="Arial"/>
          <w:sz w:val="22"/>
        </w:rPr>
        <w:t>Ministry of Justice - Real estate transaction data</w:t>
      </w:r>
    </w:p>
    <w:p>
      <w:pPr>
        <w:pStyle w:val="ListBullet"/>
        <w:jc w:val="left"/>
      </w:pPr>
      <w:r>
        <w:rPr>
          <w:rFonts w:ascii="Arial" w:hAnsi="Arial" w:eastAsia="Arial"/>
          <w:sz w:val="22"/>
        </w:rPr>
        <w:t>Raghdan Platform - District-level price data</w:t>
      </w:r>
    </w:p>
    <w:p>
      <w:pPr>
        <w:pStyle w:val="ListBullet"/>
        <w:jc w:val="left"/>
      </w:pPr>
      <w:r>
        <w:rPr>
          <w:rFonts w:ascii="Arial" w:hAnsi="Arial" w:eastAsia="Arial"/>
          <w:sz w:val="22"/>
        </w:rPr>
        <w:t>Balady Platform - Building permits and violations</w:t>
      </w:r>
    </w:p>
    <w:p>
      <w:pPr>
        <w:pStyle w:val="Heading2"/>
        <w:jc w:val="left"/>
      </w:pPr>
      <w:r>
        <w:rPr>
          <w:rFonts w:ascii="Arial" w:hAnsi="Arial" w:eastAsia="Arial"/>
          <w:color w:val="D4A853"/>
        </w:rPr>
        <w:t>Research Reports</w:t>
      </w:r>
    </w:p>
    <w:p>
      <w:pPr>
        <w:pStyle w:val="ListBullet"/>
        <w:jc w:val="left"/>
      </w:pPr>
      <w:r>
        <w:rPr>
          <w:rFonts w:ascii="Arial" w:hAnsi="Arial" w:eastAsia="Arial"/>
          <w:sz w:val="22"/>
        </w:rPr>
        <w:t>Knight Frank - Saudi Real Estate Report 2026</w:t>
      </w:r>
    </w:p>
    <w:p>
      <w:pPr>
        <w:pStyle w:val="ListBullet"/>
        <w:jc w:val="left"/>
      </w:pPr>
      <w:r>
        <w:rPr>
          <w:rFonts w:ascii="Arial" w:hAnsi="Arial" w:eastAsia="Arial"/>
          <w:sz w:val="22"/>
        </w:rPr>
        <w:t>KAPSARC - Housing market analysis</w:t>
      </w:r>
    </w:p>
    <w:p>
      <w:pPr>
        <w:pStyle w:val="ListBullet"/>
        <w:jc w:val="left"/>
      </w:pPr>
      <w:r>
        <w:rPr>
          <w:rFonts w:ascii="Arial" w:hAnsi="Arial" w:eastAsia="Arial"/>
          <w:sz w:val="22"/>
        </w:rPr>
        <w:t>Sands of Wealth - Jeddah Housing Prices 2026</w:t>
      </w:r>
    </w:p>
    <w:p>
      <w:r>
        <w:br w:type="page"/>
      </w:r>
    </w:p>
    <w:p>
      <w:pPr>
        <w:pStyle w:val="Heading1"/>
        <w:jc w:val="left"/>
      </w:pPr>
      <w:r>
        <w:rPr>
          <w:rFonts w:ascii="Arial" w:hAnsi="Arial" w:eastAsia="Arial"/>
          <w:color w:val="003366"/>
        </w:rPr>
        <w:t>Appendix A: Independent Strategic Analysis</w:t>
      </w:r>
    </w:p>
    <w:p>
      <w:pPr>
        <w:jc w:val="left"/>
      </w:pPr>
      <w:r>
        <w:rPr>
          <w:rFonts w:ascii="Arial" w:hAnsi="Arial" w:eastAsia="Arial"/>
          <w:b w:val="0"/>
          <w:i w:val="0"/>
          <w:sz w:val="24"/>
        </w:rPr>
        <w:t>This appendix provides an independent strategic review of the feasibility study, intended to enhance credibility and demonstrate that the study can withstand external scrutiny.</w:t>
      </w:r>
    </w:p>
    <w:p>
      <w:pPr>
        <w:pStyle w:val="Heading2"/>
        <w:jc w:val="left"/>
      </w:pPr>
      <w:r>
        <w:rPr>
          <w:rFonts w:ascii="Arial" w:hAnsi="Arial" w:eastAsia="Arial"/>
          <w:color w:val="D4A853"/>
        </w:rPr>
        <w:t>A.1 Capital Structure and Liquidity</w:t>
      </w:r>
    </w:p>
    <w:p>
      <w:pPr>
        <w:jc w:val="left"/>
      </w:pPr>
      <w:r>
        <w:rPr>
          <w:rFonts w:ascii="Arial" w:hAnsi="Arial" w:eastAsia="Arial"/>
          <w:b w:val="0"/>
          <w:i w:val="0"/>
          <w:sz w:val="24"/>
        </w:rPr>
        <w:t>The study wisely adopts a flexible capital ceiling of SAR 226 million, with actual operations starting at only SAR 25 million. This phased drawdown approach avoids early capital freezing and reduces investor risk.</w:t>
      </w:r>
    </w:p>
    <w:p>
      <w:pPr>
        <w:pStyle w:val="Heading2"/>
        <w:jc w:val="left"/>
      </w:pPr>
      <w:r>
        <w:rPr>
          <w:rFonts w:ascii="Arial" w:hAnsi="Arial" w:eastAsia="Arial"/>
          <w:color w:val="D4A853"/>
        </w:rPr>
        <w:t>A.2 Proof of Concept Strategy</w:t>
      </w:r>
    </w:p>
    <w:p>
      <w:pPr>
        <w:jc w:val="left"/>
      </w:pPr>
      <w:r>
        <w:rPr>
          <w:rFonts w:ascii="Arial" w:hAnsi="Arial" w:eastAsia="Arial"/>
          <w:b w:val="0"/>
          <w:i w:val="0"/>
          <w:sz w:val="24"/>
        </w:rPr>
        <w:t>Starting with 3-5 benchmark projects over 12-18 months is a prudent approach. Strict milestones should be set before moving to the expansion phase, including achieving 80% sales and SAR 1.5 million net profit.</w:t>
      </w:r>
    </w:p>
    <w:p>
      <w:pPr>
        <w:pStyle w:val="Heading2"/>
        <w:jc w:val="left"/>
      </w:pPr>
      <w:r>
        <w:rPr>
          <w:rFonts w:ascii="Arial" w:hAnsi="Arial" w:eastAsia="Arial"/>
          <w:color w:val="D4A853"/>
        </w:rPr>
        <w:t>A.3 Long-Term Value Creation</w:t>
      </w:r>
    </w:p>
    <w:p>
      <w:pPr>
        <w:jc w:val="left"/>
      </w:pPr>
      <w:r>
        <w:rPr>
          <w:rFonts w:ascii="Arial" w:hAnsi="Arial" w:eastAsia="Arial"/>
          <w:b w:val="0"/>
          <w:i w:val="0"/>
          <w:sz w:val="24"/>
        </w:rPr>
        <w:t>The investment should be viewed as value investing. The true return comes from accumulated asset value, brand recognition, and recurring revenue streams rather than immediate annual distributions.</w:t>
      </w:r>
    </w:p>
    <w:p>
      <w:r>
        <w:br w:type="page"/>
      </w:r>
    </w:p>
    <w:p>
      <w:pPr>
        <w:pStyle w:val="Heading1"/>
        <w:jc w:val="left"/>
      </w:pPr>
      <w:r>
        <w:rPr>
          <w:rFonts w:ascii="Arial" w:hAnsi="Arial" w:eastAsia="Arial"/>
          <w:color w:val="003366"/>
        </w:rPr>
        <w:t>Appendix B: Investor Evaluation</w:t>
      </w:r>
    </w:p>
    <w:p>
      <w:pPr>
        <w:jc w:val="left"/>
      </w:pPr>
      <w:r>
        <w:rPr>
          <w:rFonts w:ascii="Arial" w:hAnsi="Arial" w:eastAsia="Arial"/>
          <w:b w:val="0"/>
          <w:i w:val="0"/>
          <w:sz w:val="24"/>
        </w:rPr>
        <w:t>This appendix provides a practical investor perspective on the study, highlighting both strengths and concerns.</w:t>
      </w:r>
    </w:p>
    <w:p>
      <w:pPr>
        <w:pStyle w:val="Heading2"/>
        <w:jc w:val="left"/>
      </w:pPr>
      <w:r>
        <w:rPr>
          <w:rFonts w:ascii="Arial" w:hAnsi="Arial" w:eastAsia="Arial"/>
          <w:color w:val="D4A853"/>
        </w:rPr>
        <w:t>B.1 Key Value Driver</w:t>
      </w:r>
    </w:p>
    <w:p>
      <w:pPr>
        <w:jc w:val="left"/>
      </w:pPr>
      <w:r>
        <w:rPr>
          <w:rFonts w:ascii="Arial" w:hAnsi="Arial" w:eastAsia="Arial"/>
          <w:b w:val="0"/>
          <w:i w:val="0"/>
          <w:sz w:val="24"/>
        </w:rPr>
        <w:t>The real value is not in finishing or smart technology, but in the ability to access incomplete buildings before competitors. Strong relationships with owners, appraisers, lawyers, brokers, and banks create a durable competitive advantage.</w:t>
      </w:r>
    </w:p>
    <w:p>
      <w:pPr>
        <w:pStyle w:val="Heading2"/>
        <w:jc w:val="left"/>
      </w:pPr>
      <w:r>
        <w:rPr>
          <w:rFonts w:ascii="Arial" w:hAnsi="Arial" w:eastAsia="Arial"/>
          <w:color w:val="D4A853"/>
        </w:rPr>
        <w:t>B.2 Main Concern</w:t>
      </w:r>
    </w:p>
    <w:p>
      <w:pPr>
        <w:jc w:val="left"/>
      </w:pPr>
      <w:r>
        <w:rPr>
          <w:rFonts w:ascii="Arial" w:hAnsi="Arial" w:eastAsia="Arial"/>
          <w:b w:val="0"/>
          <w:i w:val="0"/>
          <w:sz w:val="24"/>
        </w:rPr>
        <w:t>The study assumes an aggressive project ramp-up: 2 projects in Year 1, 4 in Year 2, 6 in Year 3, and 10 in Year 5. The most challenging part is not execution but acquiring suitable buildings.</w:t>
      </w:r>
    </w:p>
    <w:p>
      <w:pPr>
        <w:pStyle w:val="Heading2"/>
        <w:jc w:val="left"/>
      </w:pPr>
      <w:r>
        <w:rPr>
          <w:rFonts w:ascii="Arial" w:hAnsi="Arial" w:eastAsia="Arial"/>
          <w:color w:val="D4A853"/>
        </w:rPr>
        <w:t>B.3 Recommendation</w:t>
      </w:r>
    </w:p>
    <w:p>
      <w:pPr>
        <w:pStyle w:val="ListBullet"/>
        <w:jc w:val="left"/>
      </w:pPr>
      <w:r>
        <w:rPr>
          <w:rFonts w:ascii="Arial" w:hAnsi="Arial" w:eastAsia="Arial"/>
          <w:sz w:val="22"/>
        </w:rPr>
        <w:t>Keep the administrative team lean - 15 employees at SAR 3.06 million annually is reasonable.</w:t>
      </w:r>
    </w:p>
    <w:p>
      <w:pPr>
        <w:pStyle w:val="ListBullet"/>
        <w:jc w:val="left"/>
      </w:pPr>
      <w:r>
        <w:rPr>
          <w:rFonts w:ascii="Arial" w:hAnsi="Arial" w:eastAsia="Arial"/>
          <w:sz w:val="22"/>
        </w:rPr>
        <w:t>Position the company as a real estate asset revitalization company, not a smart building technology company.</w:t>
      </w:r>
    </w:p>
    <w:p>
      <w:pPr>
        <w:pStyle w:val="ListBullet"/>
        <w:jc w:val="left"/>
      </w:pPr>
      <w:r>
        <w:rPr>
          <w:rFonts w:ascii="Arial" w:hAnsi="Arial" w:eastAsia="Arial"/>
          <w:sz w:val="22"/>
        </w:rPr>
        <w:t>Focus geographically in the beginning - start with Jeddah only.</w:t>
      </w:r>
    </w:p>
    <w:p>
      <w:pPr>
        <w:pStyle w:val="ListBullet"/>
        <w:jc w:val="left"/>
      </w:pPr>
      <w:r>
        <w:rPr>
          <w:rFonts w:ascii="Arial" w:hAnsi="Arial" w:eastAsia="Arial"/>
          <w:sz w:val="22"/>
        </w:rPr>
        <w:t>First project: a 6-12 apartment residential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