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A0" w:firstRow="1" w:lastRow="0" w:firstColumn="1" w:lastColumn="0" w:noHBand="1" w:noVBand="1"/>
      </w:tblPr>
      <w:tblGrid>
        <w:gridCol w:w="4239"/>
        <w:gridCol w:w="4596"/>
      </w:tblGrid>
      <w:tr w:rsidR="2F6C9F48" w14:paraId="13CFE702" w14:textId="77777777" w:rsidTr="2F6C9F48">
        <w:trPr>
          <w:trHeight w:val="2415"/>
        </w:trPr>
        <w:tc>
          <w:tcPr>
            <w:tcW w:w="4239" w:type="dxa"/>
            <w:shd w:val="clear" w:color="auto" w:fill="FFFFFF" w:themeFill="background1"/>
            <w:tcMar>
              <w:left w:w="100" w:type="dxa"/>
              <w:right w:w="100" w:type="dxa"/>
            </w:tcMar>
          </w:tcPr>
          <w:p w14:paraId="57AA09D9" w14:textId="51FBD045" w:rsidR="2F6C9F48" w:rsidRDefault="2F6C9F48" w:rsidP="2F6C9F48">
            <w:pPr>
              <w:spacing w:after="0"/>
              <w:ind w:left="-7"/>
              <w:jc w:val="center"/>
            </w:pPr>
            <w:r>
              <w:rPr>
                <w:noProof/>
              </w:rPr>
              <w:drawing>
                <wp:inline distT="0" distB="0" distL="0" distR="0" wp14:anchorId="3E06116A" wp14:editId="02DF268E">
                  <wp:extent cx="1085850" cy="1343025"/>
                  <wp:effectExtent l="0" t="0" r="0" b="0"/>
                  <wp:docPr id="571471851" name="Picture 57147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085850" cy="1343025"/>
                          </a:xfrm>
                          <a:prstGeom prst="rect">
                            <a:avLst/>
                          </a:prstGeom>
                        </pic:spPr>
                      </pic:pic>
                    </a:graphicData>
                  </a:graphic>
                </wp:inline>
              </w:drawing>
            </w:r>
          </w:p>
        </w:tc>
        <w:tc>
          <w:tcPr>
            <w:tcW w:w="4596" w:type="dxa"/>
            <w:shd w:val="clear" w:color="auto" w:fill="FFFFFF" w:themeFill="background1"/>
            <w:tcMar>
              <w:left w:w="384" w:type="dxa"/>
              <w:right w:w="100" w:type="dxa"/>
            </w:tcMar>
          </w:tcPr>
          <w:p w14:paraId="43666C59" w14:textId="174570FA" w:rsidR="2F6C9F48" w:rsidRDefault="2F6C9F48" w:rsidP="2F6C9F48">
            <w:pPr>
              <w:spacing w:before="200" w:after="0"/>
              <w:ind w:left="-7"/>
              <w:jc w:val="center"/>
            </w:pPr>
            <w:r w:rsidRPr="2F6C9F48">
              <w:rPr>
                <w:rFonts w:ascii="Times New Roman" w:eastAsia="Times New Roman" w:hAnsi="Times New Roman" w:cs="Times New Roman"/>
                <w:b/>
                <w:bCs/>
                <w:color w:val="000000" w:themeColor="text1"/>
              </w:rPr>
              <w:t>FACULTAD DE INGENIERÍA</w:t>
            </w:r>
          </w:p>
          <w:p w14:paraId="73F60D82" w14:textId="453925A1" w:rsidR="2F6C9F48" w:rsidRDefault="2F6C9F48" w:rsidP="2F6C9F48">
            <w:pPr>
              <w:spacing w:before="200" w:after="0"/>
              <w:ind w:left="284"/>
              <w:jc w:val="center"/>
            </w:pPr>
            <w:r w:rsidRPr="2F6C9F48">
              <w:rPr>
                <w:rFonts w:ascii="Times New Roman" w:eastAsia="Times New Roman" w:hAnsi="Times New Roman" w:cs="Times New Roman"/>
                <w:b/>
                <w:bCs/>
                <w:color w:val="000000" w:themeColor="text1"/>
              </w:rPr>
              <w:t>BIOINGENIERÍA</w:t>
            </w:r>
          </w:p>
          <w:p w14:paraId="17C074F2" w14:textId="7427F6DE" w:rsidR="2F6C9F48" w:rsidRDefault="2F6C9F48" w:rsidP="2F6C9F48">
            <w:pPr>
              <w:spacing w:before="140" w:after="0"/>
              <w:ind w:left="284"/>
              <w:jc w:val="center"/>
            </w:pPr>
            <w:r w:rsidRPr="2F6C9F48">
              <w:rPr>
                <w:rFonts w:ascii="Times New Roman" w:eastAsia="Times New Roman" w:hAnsi="Times New Roman" w:cs="Times New Roman"/>
                <w:color w:val="000000" w:themeColor="text1"/>
              </w:rPr>
              <w:t>Bioseñales y sistemas</w:t>
            </w:r>
          </w:p>
          <w:p w14:paraId="75905C54" w14:textId="1A891637" w:rsidR="2F6C9F48" w:rsidRDefault="2F6C9F48" w:rsidP="2F6C9F48">
            <w:pPr>
              <w:spacing w:after="0"/>
              <w:ind w:left="-7"/>
            </w:pPr>
          </w:p>
          <w:p w14:paraId="316B9583" w14:textId="616AA1ED" w:rsidR="2F6C9F48" w:rsidRDefault="2F6C9F48" w:rsidP="2F6C9F48">
            <w:pPr>
              <w:spacing w:before="140" w:after="0"/>
              <w:ind w:left="284"/>
            </w:pPr>
            <w:r w:rsidRPr="2F6C9F48">
              <w:rPr>
                <w:rFonts w:ascii="Times New Roman" w:eastAsia="Times New Roman" w:hAnsi="Times New Roman" w:cs="Times New Roman"/>
                <w:color w:val="000000" w:themeColor="text1"/>
              </w:rPr>
              <w:t>Valentina Garcia Obando C.C.1000539432</w:t>
            </w:r>
          </w:p>
          <w:p w14:paraId="47339381" w14:textId="6C9F4E16" w:rsidR="2F6C9F48" w:rsidRDefault="2F6C9F48" w:rsidP="2F6C9F48">
            <w:pPr>
              <w:spacing w:before="140" w:after="0"/>
              <w:ind w:left="284"/>
            </w:pPr>
            <w:r w:rsidRPr="2F6C9F48">
              <w:rPr>
                <w:rFonts w:ascii="Times New Roman" w:eastAsia="Times New Roman" w:hAnsi="Times New Roman" w:cs="Times New Roman"/>
                <w:color w:val="000000" w:themeColor="text1"/>
              </w:rPr>
              <w:t xml:space="preserve">Juan José </w:t>
            </w:r>
            <w:proofErr w:type="spellStart"/>
            <w:r w:rsidRPr="2F6C9F48">
              <w:rPr>
                <w:rFonts w:ascii="Times New Roman" w:eastAsia="Times New Roman" w:hAnsi="Times New Roman" w:cs="Times New Roman"/>
                <w:color w:val="000000" w:themeColor="text1"/>
              </w:rPr>
              <w:t>Alzate</w:t>
            </w:r>
            <w:proofErr w:type="spellEnd"/>
            <w:r w:rsidRPr="2F6C9F48">
              <w:rPr>
                <w:rFonts w:ascii="Times New Roman" w:eastAsia="Times New Roman" w:hAnsi="Times New Roman" w:cs="Times New Roman"/>
                <w:color w:val="000000" w:themeColor="text1"/>
              </w:rPr>
              <w:t xml:space="preserve"> Molina.  C.C. 1007232151</w:t>
            </w:r>
          </w:p>
          <w:p w14:paraId="5025AE74" w14:textId="5DC64233" w:rsidR="2F6C9F48" w:rsidRDefault="2F6C9F48" w:rsidP="2F6C9F48">
            <w:pPr>
              <w:spacing w:before="140" w:after="0"/>
              <w:ind w:left="284"/>
            </w:pPr>
            <w:r w:rsidRPr="2F6C9F48">
              <w:rPr>
                <w:rFonts w:ascii="Times New Roman" w:eastAsia="Times New Roman" w:hAnsi="Times New Roman" w:cs="Times New Roman"/>
                <w:color w:val="000000" w:themeColor="text1"/>
              </w:rPr>
              <w:t xml:space="preserve"> </w:t>
            </w:r>
          </w:p>
        </w:tc>
      </w:tr>
    </w:tbl>
    <w:p w14:paraId="35F66625" w14:textId="3D83E7AB" w:rsidR="00386015" w:rsidRDefault="00386015" w:rsidP="00386015"/>
    <w:p w14:paraId="6AE2DDB1" w14:textId="73134CDC" w:rsidR="00386015" w:rsidRDefault="6FFBF273" w:rsidP="5FEB6E6B">
      <w:pPr>
        <w:spacing w:before="120" w:after="120"/>
        <w:ind w:left="284"/>
        <w:jc w:val="center"/>
        <w:rPr>
          <w:rFonts w:ascii="Arial" w:eastAsia="Arial" w:hAnsi="Arial" w:cs="Arial"/>
          <w:b/>
          <w:color w:val="000000" w:themeColor="text1"/>
        </w:rPr>
      </w:pPr>
      <w:r w:rsidRPr="74DE5E85">
        <w:rPr>
          <w:rFonts w:ascii="Arial" w:eastAsia="Arial" w:hAnsi="Arial" w:cs="Arial"/>
          <w:b/>
          <w:color w:val="000000" w:themeColor="text1"/>
        </w:rPr>
        <w:t>Informe Proyecto 2: Análisis de señales EC</w:t>
      </w:r>
      <w:r w:rsidR="20490A2E" w:rsidRPr="74DE5E85">
        <w:rPr>
          <w:rFonts w:ascii="Arial" w:eastAsia="Arial" w:hAnsi="Arial" w:cs="Arial"/>
          <w:b/>
          <w:color w:val="000000" w:themeColor="text1"/>
        </w:rPr>
        <w:t>G</w:t>
      </w:r>
    </w:p>
    <w:p w14:paraId="5D6AD10B" w14:textId="117B28AF" w:rsidR="00386015" w:rsidRDefault="00386015" w:rsidP="1FDA8FA6">
      <w:pPr>
        <w:spacing w:before="120" w:after="120"/>
        <w:ind w:left="284"/>
        <w:jc w:val="center"/>
        <w:rPr>
          <w:rFonts w:ascii="Arial" w:eastAsia="Arial" w:hAnsi="Arial" w:cs="Arial"/>
          <w:b/>
          <w:color w:val="000000" w:themeColor="text1"/>
        </w:rPr>
      </w:pPr>
    </w:p>
    <w:p w14:paraId="6F63901A" w14:textId="6C3F3063" w:rsidR="00386015" w:rsidRDefault="20490A2E" w:rsidP="3904358C">
      <w:pPr>
        <w:pStyle w:val="ListParagraph"/>
        <w:numPr>
          <w:ilvl w:val="0"/>
          <w:numId w:val="5"/>
        </w:numPr>
        <w:spacing w:before="120" w:after="120"/>
        <w:rPr>
          <w:rFonts w:ascii="Arial" w:eastAsia="Arial" w:hAnsi="Arial" w:cs="Arial"/>
          <w:b/>
          <w:sz w:val="20"/>
          <w:szCs w:val="20"/>
        </w:rPr>
      </w:pPr>
      <w:r w:rsidRPr="3904358C">
        <w:rPr>
          <w:rFonts w:ascii="Arial" w:eastAsia="Arial" w:hAnsi="Arial" w:cs="Arial"/>
          <w:b/>
          <w:bCs/>
          <w:color w:val="000000" w:themeColor="text1"/>
          <w:sz w:val="20"/>
          <w:szCs w:val="20"/>
        </w:rPr>
        <w:t>Para</w:t>
      </w:r>
      <w:r w:rsidRPr="7A7045A9">
        <w:rPr>
          <w:rFonts w:ascii="Arial" w:eastAsia="Arial" w:hAnsi="Arial" w:cs="Arial"/>
          <w:b/>
          <w:color w:val="000000" w:themeColor="text1"/>
          <w:sz w:val="20"/>
          <w:szCs w:val="20"/>
        </w:rPr>
        <w:t xml:space="preserve"> cada artículo hacer un diagrama de flujo de las metodologías usadas en los artículos (10%) y </w:t>
      </w:r>
      <w:r w:rsidRPr="5C900369">
        <w:rPr>
          <w:rFonts w:ascii="Arial" w:eastAsia="Arial" w:hAnsi="Arial" w:cs="Arial"/>
          <w:b/>
          <w:sz w:val="20"/>
          <w:szCs w:val="20"/>
        </w:rPr>
        <w:t>Explicar en sus palabras las metodologías desarrolladas (10%)</w:t>
      </w:r>
    </w:p>
    <w:p w14:paraId="32BE58D8" w14:textId="0B396AC3" w:rsidR="00386015" w:rsidRDefault="00386015" w:rsidP="748E2E3E">
      <w:pPr>
        <w:spacing w:before="120" w:after="120"/>
        <w:rPr>
          <w:rFonts w:ascii="Arial" w:eastAsia="Arial" w:hAnsi="Arial" w:cs="Arial"/>
          <w:b/>
          <w:sz w:val="20"/>
          <w:szCs w:val="20"/>
        </w:rPr>
      </w:pPr>
    </w:p>
    <w:p w14:paraId="03507BEC" w14:textId="30F06A54" w:rsidR="00386015" w:rsidRDefault="4A9A9FC2" w:rsidP="20FEF2D4">
      <w:pPr>
        <w:spacing w:before="120" w:after="120"/>
        <w:rPr>
          <w:rFonts w:ascii="Arial" w:eastAsia="Arial" w:hAnsi="Arial" w:cs="Arial"/>
          <w:sz w:val="20"/>
          <w:szCs w:val="20"/>
        </w:rPr>
      </w:pPr>
      <w:r w:rsidRPr="7249B3BD">
        <w:rPr>
          <w:rFonts w:ascii="Arial" w:eastAsia="Arial" w:hAnsi="Arial" w:cs="Arial"/>
          <w:sz w:val="20"/>
          <w:szCs w:val="20"/>
        </w:rPr>
        <w:t>Los diagramas parafraseados de cada artículo se adjuntan en formato PDF en el GitHub del grupo:</w:t>
      </w:r>
    </w:p>
    <w:p w14:paraId="2101C7C3" w14:textId="641D349E" w:rsidR="00386015" w:rsidRDefault="00386015" w:rsidP="412879D8">
      <w:pPr>
        <w:spacing w:before="120" w:after="120"/>
        <w:rPr>
          <w:rFonts w:ascii="Arial" w:eastAsia="Arial" w:hAnsi="Arial" w:cs="Arial"/>
          <w:b/>
          <w:bCs/>
          <w:sz w:val="20"/>
          <w:szCs w:val="20"/>
        </w:rPr>
      </w:pPr>
    </w:p>
    <w:p w14:paraId="08CD545D" w14:textId="177C627A" w:rsidR="00386015" w:rsidRDefault="52FC0708" w:rsidP="0DFA3F03">
      <w:pPr>
        <w:pStyle w:val="ListParagraph"/>
        <w:numPr>
          <w:ilvl w:val="0"/>
          <w:numId w:val="5"/>
        </w:numPr>
        <w:spacing w:before="120" w:after="120"/>
        <w:rPr>
          <w:rFonts w:ascii="Arial" w:eastAsia="Arial" w:hAnsi="Arial" w:cs="Arial"/>
          <w:b/>
          <w:bCs/>
          <w:sz w:val="20"/>
          <w:szCs w:val="20"/>
        </w:rPr>
      </w:pPr>
      <w:r w:rsidRPr="750144B7">
        <w:rPr>
          <w:rFonts w:ascii="Arial" w:eastAsia="Arial" w:hAnsi="Arial" w:cs="Arial"/>
          <w:b/>
          <w:bCs/>
          <w:sz w:val="20"/>
          <w:szCs w:val="20"/>
        </w:rPr>
        <w:t>Descargar los datos ECGDataDenoised.zip</w:t>
      </w:r>
    </w:p>
    <w:p w14:paraId="3CD683CE" w14:textId="549FC87D" w:rsidR="00386015" w:rsidRDefault="52FC0708" w:rsidP="15344C84">
      <w:pPr>
        <w:pStyle w:val="ListParagraph"/>
        <w:numPr>
          <w:ilvl w:val="0"/>
          <w:numId w:val="5"/>
        </w:numPr>
        <w:spacing w:before="120" w:after="120"/>
        <w:rPr>
          <w:rFonts w:ascii="Arial" w:eastAsia="Arial" w:hAnsi="Arial" w:cs="Arial"/>
          <w:b/>
          <w:bCs/>
          <w:sz w:val="20"/>
          <w:szCs w:val="20"/>
        </w:rPr>
      </w:pPr>
      <w:r w:rsidRPr="15344C84">
        <w:rPr>
          <w:rFonts w:ascii="Arial" w:eastAsia="Arial" w:hAnsi="Arial" w:cs="Arial"/>
          <w:b/>
          <w:bCs/>
          <w:sz w:val="20"/>
          <w:szCs w:val="20"/>
        </w:rPr>
        <w:t xml:space="preserve">Programar las fórmulas 1 al 4 que se encuentran en el artículo (15%). Consultar que significado y utilidad del </w:t>
      </w:r>
      <w:proofErr w:type="spellStart"/>
      <w:r w:rsidRPr="15344C84">
        <w:rPr>
          <w:rFonts w:ascii="Arial" w:eastAsia="Arial" w:hAnsi="Arial" w:cs="Arial"/>
          <w:b/>
          <w:bCs/>
          <w:sz w:val="20"/>
          <w:szCs w:val="20"/>
        </w:rPr>
        <w:t>biespectro</w:t>
      </w:r>
      <w:proofErr w:type="spellEnd"/>
      <w:r w:rsidRPr="15344C84">
        <w:rPr>
          <w:rFonts w:ascii="Arial" w:eastAsia="Arial" w:hAnsi="Arial" w:cs="Arial"/>
          <w:b/>
          <w:bCs/>
          <w:sz w:val="20"/>
          <w:szCs w:val="20"/>
        </w:rPr>
        <w:t xml:space="preserve"> (Realice la gráfica) (5%)</w:t>
      </w:r>
    </w:p>
    <w:p w14:paraId="78571C4E" w14:textId="6927CDB8" w:rsidR="050B43FD" w:rsidRDefault="050B43FD" w:rsidP="050B43FD">
      <w:pPr>
        <w:spacing w:before="120" w:after="120"/>
        <w:rPr>
          <w:rFonts w:ascii="Arial" w:eastAsia="Arial" w:hAnsi="Arial" w:cs="Arial"/>
          <w:b/>
          <w:bCs/>
          <w:sz w:val="20"/>
          <w:szCs w:val="20"/>
        </w:rPr>
      </w:pPr>
    </w:p>
    <w:p w14:paraId="7D4D93BF" w14:textId="4E089C22" w:rsidR="0033309B" w:rsidRDefault="26200FBF" w:rsidP="24DE514C">
      <w:pPr>
        <w:spacing w:before="120" w:after="120"/>
        <w:rPr>
          <w:rFonts w:ascii="Arial" w:eastAsia="Arial" w:hAnsi="Arial" w:cs="Arial"/>
          <w:sz w:val="20"/>
          <w:szCs w:val="20"/>
        </w:rPr>
      </w:pPr>
      <w:r w:rsidRPr="4377ED9D">
        <w:rPr>
          <w:rFonts w:ascii="Arial" w:eastAsia="Arial" w:hAnsi="Arial" w:cs="Arial"/>
          <w:sz w:val="20"/>
          <w:szCs w:val="20"/>
        </w:rPr>
        <w:t xml:space="preserve">El </w:t>
      </w:r>
      <w:r w:rsidRPr="2EDE3258">
        <w:rPr>
          <w:rFonts w:ascii="Arial" w:eastAsia="Arial" w:hAnsi="Arial" w:cs="Arial"/>
          <w:sz w:val="20"/>
          <w:szCs w:val="20"/>
        </w:rPr>
        <w:t xml:space="preserve">cálculo </w:t>
      </w:r>
      <w:r w:rsidRPr="2988603F">
        <w:rPr>
          <w:rFonts w:ascii="Arial" w:eastAsia="Arial" w:hAnsi="Arial" w:cs="Arial"/>
          <w:sz w:val="20"/>
          <w:szCs w:val="20"/>
        </w:rPr>
        <w:t xml:space="preserve">de </w:t>
      </w:r>
      <w:r w:rsidRPr="1A863D51">
        <w:rPr>
          <w:rFonts w:ascii="Arial" w:eastAsia="Arial" w:hAnsi="Arial" w:cs="Arial"/>
          <w:sz w:val="20"/>
          <w:szCs w:val="20"/>
        </w:rPr>
        <w:t xml:space="preserve">las 4 </w:t>
      </w:r>
      <w:r w:rsidRPr="356EB7BA">
        <w:rPr>
          <w:rFonts w:ascii="Arial" w:eastAsia="Arial" w:hAnsi="Arial" w:cs="Arial"/>
          <w:sz w:val="20"/>
          <w:szCs w:val="20"/>
        </w:rPr>
        <w:t>formulas se</w:t>
      </w:r>
      <w:r w:rsidR="52FC0708" w:rsidRPr="0CD686CC">
        <w:rPr>
          <w:rFonts w:ascii="Arial" w:eastAsia="Arial" w:hAnsi="Arial" w:cs="Arial"/>
          <w:sz w:val="20"/>
          <w:szCs w:val="20"/>
        </w:rPr>
        <w:t xml:space="preserve"> </w:t>
      </w:r>
      <w:r w:rsidR="52FC0708" w:rsidRPr="5D763D34">
        <w:rPr>
          <w:rFonts w:ascii="Arial" w:eastAsia="Arial" w:hAnsi="Arial" w:cs="Arial"/>
          <w:sz w:val="20"/>
          <w:szCs w:val="20"/>
        </w:rPr>
        <w:t>encuentra consignado</w:t>
      </w:r>
      <w:r w:rsidR="52FC0708" w:rsidRPr="269D6566">
        <w:rPr>
          <w:rFonts w:ascii="Arial" w:eastAsia="Arial" w:hAnsi="Arial" w:cs="Arial"/>
          <w:sz w:val="20"/>
          <w:szCs w:val="20"/>
        </w:rPr>
        <w:t xml:space="preserve"> en el </w:t>
      </w:r>
      <w:proofErr w:type="spellStart"/>
      <w:r w:rsidR="52FC0708" w:rsidRPr="4437B23B">
        <w:rPr>
          <w:rFonts w:ascii="Arial" w:eastAsia="Arial" w:hAnsi="Arial" w:cs="Arial"/>
          <w:sz w:val="20"/>
          <w:szCs w:val="20"/>
        </w:rPr>
        <w:t>Jupyter</w:t>
      </w:r>
      <w:proofErr w:type="spellEnd"/>
      <w:r w:rsidR="52FC0708" w:rsidRPr="4437B23B">
        <w:rPr>
          <w:rFonts w:ascii="Arial" w:eastAsia="Arial" w:hAnsi="Arial" w:cs="Arial"/>
          <w:sz w:val="20"/>
          <w:szCs w:val="20"/>
        </w:rPr>
        <w:t xml:space="preserve"> </w:t>
      </w:r>
      <w:r w:rsidR="52FC0708" w:rsidRPr="7C43E385">
        <w:rPr>
          <w:rFonts w:ascii="Arial" w:eastAsia="Arial" w:hAnsi="Arial" w:cs="Arial"/>
          <w:sz w:val="20"/>
          <w:szCs w:val="20"/>
        </w:rPr>
        <w:t xml:space="preserve">Notebook presente </w:t>
      </w:r>
      <w:r w:rsidR="52FC0708" w:rsidRPr="4B92996B">
        <w:rPr>
          <w:rFonts w:ascii="Arial" w:eastAsia="Arial" w:hAnsi="Arial" w:cs="Arial"/>
          <w:sz w:val="20"/>
          <w:szCs w:val="20"/>
        </w:rPr>
        <w:t xml:space="preserve">en la </w:t>
      </w:r>
      <w:r w:rsidR="52FC0708" w:rsidRPr="00F4F79C">
        <w:rPr>
          <w:rFonts w:ascii="Arial" w:eastAsia="Arial" w:hAnsi="Arial" w:cs="Arial"/>
          <w:sz w:val="20"/>
          <w:szCs w:val="20"/>
        </w:rPr>
        <w:t xml:space="preserve">carpeta del </w:t>
      </w:r>
      <w:r w:rsidR="52FC0708" w:rsidRPr="0C7CDA9D">
        <w:rPr>
          <w:rFonts w:ascii="Arial" w:eastAsia="Arial" w:hAnsi="Arial" w:cs="Arial"/>
          <w:sz w:val="20"/>
          <w:szCs w:val="20"/>
        </w:rPr>
        <w:t>proyecto (“</w:t>
      </w:r>
      <w:r w:rsidR="52FC0708" w:rsidRPr="53EB0FEB">
        <w:rPr>
          <w:rFonts w:ascii="Arial" w:eastAsia="Arial" w:hAnsi="Arial" w:cs="Arial"/>
          <w:sz w:val="20"/>
          <w:szCs w:val="20"/>
        </w:rPr>
        <w:t>Proyecto_</w:t>
      </w:r>
      <w:proofErr w:type="gramStart"/>
      <w:r w:rsidR="52FC0708" w:rsidRPr="05427F61">
        <w:rPr>
          <w:rFonts w:ascii="Arial" w:eastAsia="Arial" w:hAnsi="Arial" w:cs="Arial"/>
          <w:sz w:val="20"/>
          <w:szCs w:val="20"/>
        </w:rPr>
        <w:t>2.</w:t>
      </w:r>
      <w:r w:rsidR="52FC0708" w:rsidRPr="3A8733A6">
        <w:rPr>
          <w:rFonts w:ascii="Arial" w:eastAsia="Arial" w:hAnsi="Arial" w:cs="Arial"/>
          <w:sz w:val="20"/>
          <w:szCs w:val="20"/>
        </w:rPr>
        <w:t>ipynb</w:t>
      </w:r>
      <w:proofErr w:type="gramEnd"/>
      <w:r w:rsidR="52FC0708" w:rsidRPr="5D763D34">
        <w:rPr>
          <w:rFonts w:ascii="Arial" w:eastAsia="Arial" w:hAnsi="Arial" w:cs="Arial"/>
          <w:sz w:val="20"/>
          <w:szCs w:val="20"/>
        </w:rPr>
        <w:t>”)</w:t>
      </w:r>
      <w:r w:rsidR="60AEAAC9" w:rsidRPr="5D763D34">
        <w:rPr>
          <w:rFonts w:ascii="Arial" w:eastAsia="Arial" w:hAnsi="Arial" w:cs="Arial"/>
          <w:sz w:val="20"/>
          <w:szCs w:val="20"/>
        </w:rPr>
        <w:t>.</w:t>
      </w:r>
    </w:p>
    <w:p w14:paraId="2B339C4A" w14:textId="77777777" w:rsidR="00365468" w:rsidRDefault="0033309B" w:rsidP="24DE514C">
      <w:pPr>
        <w:spacing w:before="120" w:after="120"/>
        <w:rPr>
          <w:rFonts w:ascii="Arial" w:eastAsia="Arial" w:hAnsi="Arial" w:cs="Arial"/>
          <w:sz w:val="20"/>
          <w:szCs w:val="20"/>
        </w:rPr>
      </w:pPr>
      <w:r w:rsidRPr="0033309B">
        <w:rPr>
          <w:rFonts w:ascii="Arial" w:eastAsia="Arial" w:hAnsi="Arial" w:cs="Arial"/>
          <w:sz w:val="20"/>
          <w:szCs w:val="20"/>
        </w:rPr>
        <w:t xml:space="preserve">El </w:t>
      </w:r>
      <w:proofErr w:type="spellStart"/>
      <w:r w:rsidRPr="0033309B">
        <w:rPr>
          <w:rFonts w:ascii="Arial" w:eastAsia="Arial" w:hAnsi="Arial" w:cs="Arial"/>
          <w:sz w:val="20"/>
          <w:szCs w:val="20"/>
        </w:rPr>
        <w:t>biespectro</w:t>
      </w:r>
      <w:proofErr w:type="spellEnd"/>
      <w:r w:rsidRPr="0033309B">
        <w:rPr>
          <w:rFonts w:ascii="Arial" w:eastAsia="Arial" w:hAnsi="Arial" w:cs="Arial"/>
          <w:sz w:val="20"/>
          <w:szCs w:val="20"/>
        </w:rPr>
        <w:t xml:space="preserve"> es una herramienta analítica avanzada utilizada en el estudio del electroencefalograma (EEG) que permite evaluar el acoplamiento de fase entre diferentes frecuencias de las ondas cerebrales. A diferencia de la </w:t>
      </w:r>
      <w:proofErr w:type="spellStart"/>
      <w:r w:rsidRPr="0033309B">
        <w:rPr>
          <w:rFonts w:ascii="Arial" w:eastAsia="Arial" w:hAnsi="Arial" w:cs="Arial"/>
          <w:sz w:val="20"/>
          <w:szCs w:val="20"/>
        </w:rPr>
        <w:t>bicoherencia</w:t>
      </w:r>
      <w:proofErr w:type="spellEnd"/>
      <w:r w:rsidRPr="0033309B">
        <w:rPr>
          <w:rFonts w:ascii="Arial" w:eastAsia="Arial" w:hAnsi="Arial" w:cs="Arial"/>
          <w:sz w:val="20"/>
          <w:szCs w:val="20"/>
        </w:rPr>
        <w:t xml:space="preserve">, que se centra en la relación entre dos frecuencias, el </w:t>
      </w:r>
      <w:proofErr w:type="spellStart"/>
      <w:r w:rsidRPr="0033309B">
        <w:rPr>
          <w:rFonts w:ascii="Arial" w:eastAsia="Arial" w:hAnsi="Arial" w:cs="Arial"/>
          <w:sz w:val="20"/>
          <w:szCs w:val="20"/>
        </w:rPr>
        <w:t>biespectro</w:t>
      </w:r>
      <w:proofErr w:type="spellEnd"/>
      <w:r w:rsidRPr="0033309B">
        <w:rPr>
          <w:rFonts w:ascii="Arial" w:eastAsia="Arial" w:hAnsi="Arial" w:cs="Arial"/>
          <w:sz w:val="20"/>
          <w:szCs w:val="20"/>
        </w:rPr>
        <w:t xml:space="preserve"> considera interacciones entre tres frecuencias, lo que proporciona una visión más completa y detallada de la dinámica cerebral. Esta capacidad de análisis es especialmente útil en el contexto de la anestesia, donde el </w:t>
      </w:r>
      <w:proofErr w:type="spellStart"/>
      <w:r w:rsidRPr="0033309B">
        <w:rPr>
          <w:rFonts w:ascii="Arial" w:eastAsia="Arial" w:hAnsi="Arial" w:cs="Arial"/>
          <w:sz w:val="20"/>
          <w:szCs w:val="20"/>
        </w:rPr>
        <w:t>biespectro</w:t>
      </w:r>
      <w:proofErr w:type="spellEnd"/>
      <w:r w:rsidRPr="0033309B">
        <w:rPr>
          <w:rFonts w:ascii="Arial" w:eastAsia="Arial" w:hAnsi="Arial" w:cs="Arial"/>
          <w:sz w:val="20"/>
          <w:szCs w:val="20"/>
        </w:rPr>
        <w:t xml:space="preserve"> se utiliza para monitorear la profundidad del estado hipnótico. Al identificar cambios en la actividad cerebral, los anestesiólogos pueden ajustar la administración de anestésicos de manera más precisa, evitando así la sobredosificación o </w:t>
      </w:r>
      <w:proofErr w:type="spellStart"/>
      <w:r w:rsidRPr="0033309B">
        <w:rPr>
          <w:rFonts w:ascii="Arial" w:eastAsia="Arial" w:hAnsi="Arial" w:cs="Arial"/>
          <w:sz w:val="20"/>
          <w:szCs w:val="20"/>
        </w:rPr>
        <w:t>subdosificación</w:t>
      </w:r>
      <w:proofErr w:type="spellEnd"/>
      <w:r w:rsidRPr="0033309B">
        <w:rPr>
          <w:rFonts w:ascii="Arial" w:eastAsia="Arial" w:hAnsi="Arial" w:cs="Arial"/>
          <w:sz w:val="20"/>
          <w:szCs w:val="20"/>
        </w:rPr>
        <w:t>.</w:t>
      </w:r>
      <w:r>
        <w:rPr>
          <w:rFonts w:ascii="Arial" w:eastAsia="Arial" w:hAnsi="Arial" w:cs="Arial"/>
          <w:sz w:val="20"/>
          <w:szCs w:val="20"/>
        </w:rPr>
        <w:t xml:space="preserve"> </w:t>
      </w:r>
    </w:p>
    <w:p w14:paraId="2F5F8929" w14:textId="0859EDDA" w:rsidR="00675EE7" w:rsidRDefault="00365468" w:rsidP="24DE514C">
      <w:pPr>
        <w:spacing w:before="120" w:after="120"/>
        <w:rPr>
          <w:rFonts w:ascii="Arial" w:eastAsia="Arial" w:hAnsi="Arial" w:cs="Arial"/>
          <w:sz w:val="20"/>
          <w:szCs w:val="20"/>
        </w:rPr>
      </w:pPr>
      <w:r w:rsidRPr="00365468">
        <w:rPr>
          <w:rFonts w:ascii="Arial" w:eastAsia="Arial" w:hAnsi="Arial" w:cs="Arial"/>
          <w:sz w:val="20"/>
          <w:szCs w:val="20"/>
        </w:rPr>
        <w:t xml:space="preserve">Además, el </w:t>
      </w:r>
      <w:proofErr w:type="spellStart"/>
      <w:r w:rsidRPr="00365468">
        <w:rPr>
          <w:rFonts w:ascii="Arial" w:eastAsia="Arial" w:hAnsi="Arial" w:cs="Arial"/>
          <w:sz w:val="20"/>
          <w:szCs w:val="20"/>
        </w:rPr>
        <w:t>biespectro</w:t>
      </w:r>
      <w:proofErr w:type="spellEnd"/>
      <w:r w:rsidRPr="00365468">
        <w:rPr>
          <w:rFonts w:ascii="Arial" w:eastAsia="Arial" w:hAnsi="Arial" w:cs="Arial"/>
          <w:sz w:val="20"/>
          <w:szCs w:val="20"/>
        </w:rPr>
        <w:t xml:space="preserve"> permite evaluar las respuestas cerebrales a estímulos, como la estimulación dolorosa, lo que es crucial durante procedimientos quirúrgicos. Esta información es vital para garantizar que el paciente esté adecuadamente anestesiado y cómodo durante la cirugía. En el ámbito de la investigación clínica, el </w:t>
      </w:r>
      <w:proofErr w:type="spellStart"/>
      <w:r w:rsidRPr="00365468">
        <w:rPr>
          <w:rFonts w:ascii="Arial" w:eastAsia="Arial" w:hAnsi="Arial" w:cs="Arial"/>
          <w:sz w:val="20"/>
          <w:szCs w:val="20"/>
        </w:rPr>
        <w:t>biespectro</w:t>
      </w:r>
      <w:proofErr w:type="spellEnd"/>
      <w:r w:rsidRPr="00365468">
        <w:rPr>
          <w:rFonts w:ascii="Arial" w:eastAsia="Arial" w:hAnsi="Arial" w:cs="Arial"/>
          <w:sz w:val="20"/>
          <w:szCs w:val="20"/>
        </w:rPr>
        <w:t xml:space="preserve"> se utiliza para comprender mejor los efectos de diferentes anestésicos en la actividad cerebral, lo que contribuye al desarrollo de prácticas anestésicas más seguras y efectivas. En resumen, el </w:t>
      </w:r>
      <w:proofErr w:type="spellStart"/>
      <w:r w:rsidRPr="00365468">
        <w:rPr>
          <w:rFonts w:ascii="Arial" w:eastAsia="Arial" w:hAnsi="Arial" w:cs="Arial"/>
          <w:sz w:val="20"/>
          <w:szCs w:val="20"/>
        </w:rPr>
        <w:t>biespectro</w:t>
      </w:r>
      <w:proofErr w:type="spellEnd"/>
      <w:r w:rsidRPr="00365468">
        <w:rPr>
          <w:rFonts w:ascii="Arial" w:eastAsia="Arial" w:hAnsi="Arial" w:cs="Arial"/>
          <w:sz w:val="20"/>
          <w:szCs w:val="20"/>
        </w:rPr>
        <w:t xml:space="preserve"> es una herramienta valiosa que no solo mejora la monitorización durante la anestesia, sino que también proporciona información crítica para la investigación y la práctica clínica en neurociencia y anestesiología</w:t>
      </w:r>
      <w:r>
        <w:rPr>
          <w:rFonts w:ascii="Arial" w:eastAsia="Arial" w:hAnsi="Arial" w:cs="Arial"/>
          <w:sz w:val="20"/>
          <w:szCs w:val="20"/>
        </w:rPr>
        <w:t xml:space="preserve">. </w:t>
      </w:r>
      <w:r w:rsidR="00F17402">
        <w:rPr>
          <w:rFonts w:ascii="Arial" w:eastAsia="Arial" w:hAnsi="Arial" w:cs="Arial"/>
          <w:sz w:val="20"/>
          <w:szCs w:val="20"/>
        </w:rPr>
        <w:t>[1]</w:t>
      </w:r>
    </w:p>
    <w:p w14:paraId="23531DE5" w14:textId="2BCB3B8A" w:rsidR="00386015" w:rsidRDefault="21B39293" w:rsidP="0BE4A1C3">
      <w:pPr>
        <w:spacing w:before="120" w:after="120"/>
        <w:jc w:val="center"/>
        <w:rPr>
          <w:rFonts w:ascii="Arial" w:eastAsia="Arial" w:hAnsi="Arial" w:cs="Arial"/>
          <w:sz w:val="20"/>
          <w:szCs w:val="20"/>
        </w:rPr>
      </w:pPr>
      <w:r>
        <w:rPr>
          <w:noProof/>
        </w:rPr>
        <w:drawing>
          <wp:inline distT="0" distB="0" distL="0" distR="0" wp14:anchorId="40789478" wp14:editId="398BFBAB">
            <wp:extent cx="3619144" cy="2880000"/>
            <wp:effectExtent l="0" t="0" r="635" b="0"/>
            <wp:docPr id="3289858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6">
                      <a:extLst>
                        <a:ext uri="{28A0092B-C50C-407E-A947-70E740481C1C}">
                          <a14:useLocalDpi xmlns:a14="http://schemas.microsoft.com/office/drawing/2010/main" val="0"/>
                        </a:ext>
                      </a:extLst>
                    </a:blip>
                    <a:stretch>
                      <a:fillRect/>
                    </a:stretch>
                  </pic:blipFill>
                  <pic:spPr>
                    <a:xfrm>
                      <a:off x="0" y="0"/>
                      <a:ext cx="3619144" cy="2880000"/>
                    </a:xfrm>
                    <a:prstGeom prst="rect">
                      <a:avLst/>
                    </a:prstGeom>
                  </pic:spPr>
                </pic:pic>
              </a:graphicData>
            </a:graphic>
          </wp:inline>
        </w:drawing>
      </w:r>
      <w:r w:rsidR="00386015">
        <w:br/>
      </w:r>
    </w:p>
    <w:p w14:paraId="763786B4" w14:textId="5410FE0B" w:rsidR="00386015" w:rsidRDefault="00386015" w:rsidP="45F9D01C">
      <w:pPr>
        <w:pStyle w:val="ListParagraph"/>
        <w:numPr>
          <w:ilvl w:val="0"/>
          <w:numId w:val="5"/>
        </w:numPr>
        <w:spacing w:before="120" w:after="120"/>
        <w:rPr>
          <w:rFonts w:ascii="Arial" w:hAnsi="Arial" w:cs="Arial"/>
          <w:b/>
          <w:sz w:val="20"/>
          <w:szCs w:val="20"/>
        </w:rPr>
      </w:pPr>
      <w:r w:rsidRPr="45F9D01C">
        <w:rPr>
          <w:rFonts w:ascii="Arial" w:hAnsi="Arial" w:cs="Arial"/>
          <w:b/>
          <w:bCs/>
          <w:sz w:val="20"/>
          <w:szCs w:val="20"/>
        </w:rPr>
        <w:t>Para</w:t>
      </w:r>
      <w:r w:rsidRPr="00386015">
        <w:rPr>
          <w:rFonts w:ascii="Arial" w:hAnsi="Arial" w:cs="Arial"/>
          <w:b/>
          <w:sz w:val="20"/>
          <w:szCs w:val="20"/>
        </w:rPr>
        <w:t xml:space="preserve"> cada señal extraer la frecuencia que contiene la máxima potencia y </w:t>
      </w:r>
      <w:r w:rsidR="4C242DE6" w:rsidRPr="45F9D01C">
        <w:rPr>
          <w:rFonts w:ascii="Arial" w:hAnsi="Arial" w:cs="Arial"/>
          <w:b/>
          <w:sz w:val="20"/>
          <w:szCs w:val="20"/>
        </w:rPr>
        <w:t>Grafíquela</w:t>
      </w:r>
    </w:p>
    <w:p w14:paraId="7373D66E" w14:textId="5EDD175F" w:rsidR="09E199C3" w:rsidRDefault="4C242DE6" w:rsidP="0BE4A1C3">
      <w:pPr>
        <w:jc w:val="center"/>
        <w:rPr>
          <w:rFonts w:ascii="Arial" w:hAnsi="Arial" w:cs="Arial"/>
          <w:sz w:val="20"/>
          <w:szCs w:val="20"/>
        </w:rPr>
      </w:pPr>
      <w:r>
        <w:rPr>
          <w:noProof/>
        </w:rPr>
        <w:drawing>
          <wp:inline distT="0" distB="0" distL="0" distR="0" wp14:anchorId="4625BE3B" wp14:editId="6703AB97">
            <wp:extent cx="3409948" cy="2563341"/>
            <wp:effectExtent l="0" t="0" r="0" b="0"/>
            <wp:docPr id="1781138885" name="Picture 1781138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138885"/>
                    <pic:cNvPicPr/>
                  </pic:nvPicPr>
                  <pic:blipFill>
                    <a:blip r:embed="rId7">
                      <a:extLst>
                        <a:ext uri="{28A0092B-C50C-407E-A947-70E740481C1C}">
                          <a14:useLocalDpi xmlns:a14="http://schemas.microsoft.com/office/drawing/2010/main" val="0"/>
                        </a:ext>
                      </a:extLst>
                    </a:blip>
                    <a:stretch>
                      <a:fillRect/>
                    </a:stretch>
                  </pic:blipFill>
                  <pic:spPr>
                    <a:xfrm>
                      <a:off x="0" y="0"/>
                      <a:ext cx="3409948" cy="2563341"/>
                    </a:xfrm>
                    <a:prstGeom prst="rect">
                      <a:avLst/>
                    </a:prstGeom>
                  </pic:spPr>
                </pic:pic>
              </a:graphicData>
            </a:graphic>
          </wp:inline>
        </w:drawing>
      </w:r>
    </w:p>
    <w:p w14:paraId="06895D90" w14:textId="3B01D2DD" w:rsidR="00FF5EFF" w:rsidRPr="00386015" w:rsidRDefault="00FF5EFF" w:rsidP="00386015">
      <w:pPr>
        <w:rPr>
          <w:rFonts w:ascii="Arial" w:hAnsi="Arial" w:cs="Arial"/>
          <w:sz w:val="20"/>
          <w:szCs w:val="20"/>
        </w:rPr>
      </w:pPr>
    </w:p>
    <w:p w14:paraId="6C97AB92" w14:textId="3E0C51DA" w:rsidR="004B3B26" w:rsidRPr="00386015" w:rsidRDefault="00386015" w:rsidP="6F9E6287">
      <w:pPr>
        <w:pStyle w:val="ListParagraph"/>
        <w:numPr>
          <w:ilvl w:val="0"/>
          <w:numId w:val="5"/>
        </w:numPr>
        <w:rPr>
          <w:rFonts w:ascii="Arial" w:hAnsi="Arial" w:cs="Arial"/>
          <w:b/>
          <w:sz w:val="20"/>
          <w:szCs w:val="20"/>
        </w:rPr>
      </w:pPr>
      <w:r w:rsidRPr="6F9E6287">
        <w:rPr>
          <w:rFonts w:ascii="Arial" w:hAnsi="Arial" w:cs="Arial"/>
          <w:b/>
          <w:bCs/>
          <w:sz w:val="20"/>
          <w:szCs w:val="20"/>
        </w:rPr>
        <w:t>Para</w:t>
      </w:r>
      <w:r w:rsidRPr="00386015">
        <w:rPr>
          <w:rFonts w:ascii="Arial" w:hAnsi="Arial" w:cs="Arial"/>
          <w:b/>
          <w:sz w:val="20"/>
          <w:szCs w:val="20"/>
        </w:rPr>
        <w:t xml:space="preserve"> cada señal sumar el número de frecuencias que son significativas para </w:t>
      </w:r>
      <w:proofErr w:type="spellStart"/>
      <w:r w:rsidRPr="00386015">
        <w:rPr>
          <w:rFonts w:ascii="Arial" w:hAnsi="Arial" w:cs="Arial"/>
          <w:b/>
          <w:sz w:val="20"/>
          <w:szCs w:val="20"/>
        </w:rPr>
        <w:t>bicoherencia</w:t>
      </w:r>
      <w:proofErr w:type="spellEnd"/>
      <w:r w:rsidRPr="00386015">
        <w:rPr>
          <w:rFonts w:ascii="Arial" w:hAnsi="Arial" w:cs="Arial"/>
          <w:b/>
          <w:sz w:val="20"/>
          <w:szCs w:val="20"/>
        </w:rPr>
        <w:t xml:space="preserve"> </w:t>
      </w:r>
    </w:p>
    <w:p w14:paraId="66A9EEDA" w14:textId="4FF37BA3" w:rsidR="2CCC152F" w:rsidRDefault="2CCC152F" w:rsidP="1271A92F">
      <w:pPr>
        <w:rPr>
          <w:rFonts w:ascii="Arial" w:hAnsi="Arial" w:cs="Arial"/>
          <w:b/>
          <w:bCs/>
          <w:sz w:val="20"/>
          <w:szCs w:val="20"/>
        </w:rPr>
      </w:pPr>
      <w:r w:rsidRPr="1271A92F">
        <w:rPr>
          <w:rFonts w:ascii="Arial" w:hAnsi="Arial" w:cs="Arial"/>
          <w:sz w:val="20"/>
          <w:szCs w:val="20"/>
        </w:rPr>
        <w:t xml:space="preserve">Se hizo uso de la rutina </w:t>
      </w:r>
      <w:r w:rsidRPr="06E4DF36">
        <w:rPr>
          <w:rFonts w:ascii="Arial" w:hAnsi="Arial" w:cs="Arial"/>
          <w:sz w:val="20"/>
          <w:szCs w:val="20"/>
        </w:rPr>
        <w:t>detallada en el notebook y</w:t>
      </w:r>
      <w:r w:rsidRPr="45D41FDD">
        <w:rPr>
          <w:rFonts w:ascii="Arial" w:hAnsi="Arial" w:cs="Arial"/>
          <w:sz w:val="20"/>
          <w:szCs w:val="20"/>
        </w:rPr>
        <w:t xml:space="preserve"> se aplicó la condición de significancia</w:t>
      </w:r>
      <w:r w:rsidRPr="5456DB8A">
        <w:rPr>
          <w:rFonts w:ascii="Arial" w:hAnsi="Arial" w:cs="Arial"/>
          <w:sz w:val="20"/>
          <w:szCs w:val="20"/>
        </w:rPr>
        <w:t>:</w:t>
      </w:r>
    </w:p>
    <w:p w14:paraId="06FD912F" w14:textId="37B5ECF9" w:rsidR="5ECFB208" w:rsidRDefault="2CCC152F" w:rsidP="43E3FDB1">
      <w:pPr>
        <w:jc w:val="center"/>
        <w:rPr>
          <w:rFonts w:ascii="Arial" w:hAnsi="Arial" w:cs="Arial"/>
          <w:sz w:val="20"/>
          <w:szCs w:val="20"/>
        </w:rPr>
      </w:pPr>
      <w:r>
        <w:rPr>
          <w:noProof/>
        </w:rPr>
        <w:drawing>
          <wp:inline distT="0" distB="0" distL="0" distR="0" wp14:anchorId="725AE7D3" wp14:editId="096549D9">
            <wp:extent cx="508026" cy="393720"/>
            <wp:effectExtent l="0" t="0" r="0" b="0"/>
            <wp:docPr id="1936763611" name="Picture 193676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08026" cy="393720"/>
                    </a:xfrm>
                    <a:prstGeom prst="rect">
                      <a:avLst/>
                    </a:prstGeom>
                  </pic:spPr>
                </pic:pic>
              </a:graphicData>
            </a:graphic>
          </wp:inline>
        </w:drawing>
      </w:r>
    </w:p>
    <w:p w14:paraId="21381ED4" w14:textId="0F823CBD" w:rsidR="2CCC152F" w:rsidRDefault="2CCC152F" w:rsidP="5E87FC04">
      <w:pPr>
        <w:rPr>
          <w:rFonts w:ascii="Arial" w:hAnsi="Arial" w:cs="Arial"/>
          <w:sz w:val="20"/>
          <w:szCs w:val="20"/>
        </w:rPr>
      </w:pPr>
      <w:r w:rsidRPr="5E87FC04">
        <w:rPr>
          <w:rFonts w:ascii="Arial" w:hAnsi="Arial" w:cs="Arial"/>
          <w:sz w:val="20"/>
          <w:szCs w:val="20"/>
        </w:rPr>
        <w:t xml:space="preserve">Para lograr encontrar las </w:t>
      </w:r>
      <w:r w:rsidRPr="56D51AEA">
        <w:rPr>
          <w:rFonts w:ascii="Arial" w:hAnsi="Arial" w:cs="Arial"/>
          <w:sz w:val="20"/>
          <w:szCs w:val="20"/>
        </w:rPr>
        <w:t xml:space="preserve">frecuencias de intereses y </w:t>
      </w:r>
      <w:r w:rsidRPr="688F2E4E">
        <w:rPr>
          <w:rFonts w:ascii="Arial" w:hAnsi="Arial" w:cs="Arial"/>
          <w:sz w:val="20"/>
          <w:szCs w:val="20"/>
        </w:rPr>
        <w:t xml:space="preserve">posteriormente realizar la sumatoria, obteniendo así la </w:t>
      </w:r>
      <w:r w:rsidRPr="6C7DF39E">
        <w:rPr>
          <w:rFonts w:ascii="Arial" w:hAnsi="Arial" w:cs="Arial"/>
          <w:sz w:val="20"/>
          <w:szCs w:val="20"/>
        </w:rPr>
        <w:t xml:space="preserve">métrica de </w:t>
      </w:r>
      <w:proofErr w:type="spellStart"/>
      <w:r w:rsidRPr="6C7DF39E">
        <w:rPr>
          <w:rFonts w:ascii="Arial" w:hAnsi="Arial" w:cs="Arial"/>
          <w:sz w:val="20"/>
          <w:szCs w:val="20"/>
        </w:rPr>
        <w:t>sFSB</w:t>
      </w:r>
      <w:proofErr w:type="spellEnd"/>
      <w:r w:rsidRPr="6C7DF39E">
        <w:rPr>
          <w:rFonts w:ascii="Arial" w:hAnsi="Arial" w:cs="Arial"/>
          <w:sz w:val="20"/>
          <w:szCs w:val="20"/>
        </w:rPr>
        <w:t xml:space="preserve"> </w:t>
      </w:r>
      <w:r w:rsidRPr="75F1E4D7">
        <w:rPr>
          <w:rFonts w:ascii="Arial" w:hAnsi="Arial" w:cs="Arial"/>
          <w:sz w:val="20"/>
          <w:szCs w:val="20"/>
        </w:rPr>
        <w:t xml:space="preserve">utilizada en el </w:t>
      </w:r>
      <w:r w:rsidRPr="0B400E15">
        <w:rPr>
          <w:rFonts w:ascii="Arial" w:hAnsi="Arial" w:cs="Arial"/>
          <w:sz w:val="20"/>
          <w:szCs w:val="20"/>
        </w:rPr>
        <w:t xml:space="preserve">análisis </w:t>
      </w:r>
      <w:r w:rsidRPr="1C344A53">
        <w:rPr>
          <w:rFonts w:ascii="Arial" w:hAnsi="Arial" w:cs="Arial"/>
          <w:sz w:val="20"/>
          <w:szCs w:val="20"/>
        </w:rPr>
        <w:t>estadístico</w:t>
      </w:r>
      <w:r w:rsidRPr="0B400E15">
        <w:rPr>
          <w:rFonts w:ascii="Arial" w:hAnsi="Arial" w:cs="Arial"/>
          <w:sz w:val="20"/>
          <w:szCs w:val="20"/>
        </w:rPr>
        <w:t>.</w:t>
      </w:r>
    </w:p>
    <w:p w14:paraId="09DF3F8B" w14:textId="6EA6855A" w:rsidR="780AFF3A" w:rsidRDefault="780AFF3A" w:rsidP="780AFF3A">
      <w:pPr>
        <w:rPr>
          <w:rFonts w:ascii="Arial" w:hAnsi="Arial" w:cs="Arial"/>
          <w:sz w:val="20"/>
          <w:szCs w:val="20"/>
        </w:rPr>
      </w:pPr>
    </w:p>
    <w:p w14:paraId="31AF3DC2" w14:textId="0D0347B8" w:rsidR="00386015" w:rsidRPr="00386015" w:rsidRDefault="00386015" w:rsidP="1A602A40">
      <w:pPr>
        <w:pStyle w:val="ListParagraph"/>
        <w:numPr>
          <w:ilvl w:val="0"/>
          <w:numId w:val="5"/>
        </w:numPr>
        <w:rPr>
          <w:rFonts w:ascii="Arial" w:hAnsi="Arial" w:cs="Arial"/>
          <w:b/>
          <w:sz w:val="20"/>
          <w:szCs w:val="20"/>
        </w:rPr>
      </w:pPr>
      <w:r w:rsidRPr="1A602A40">
        <w:rPr>
          <w:rFonts w:ascii="Arial" w:hAnsi="Arial" w:cs="Arial"/>
          <w:b/>
          <w:bCs/>
          <w:sz w:val="20"/>
          <w:szCs w:val="20"/>
        </w:rPr>
        <w:t>Crear</w:t>
      </w:r>
      <w:r w:rsidRPr="00386015">
        <w:rPr>
          <w:rFonts w:ascii="Arial" w:hAnsi="Arial" w:cs="Arial"/>
          <w:b/>
          <w:sz w:val="20"/>
          <w:szCs w:val="20"/>
        </w:rPr>
        <w:t xml:space="preserve"> una rutina que aplique sobre todos los archivos de la base de datos las </w:t>
      </w:r>
      <w:r w:rsidR="1D2FEFB7" w:rsidRPr="6133AD27">
        <w:rPr>
          <w:rFonts w:ascii="Arial" w:hAnsi="Arial" w:cs="Arial"/>
          <w:b/>
          <w:bCs/>
          <w:sz w:val="20"/>
          <w:szCs w:val="20"/>
        </w:rPr>
        <w:t>rutinas</w:t>
      </w:r>
      <w:r w:rsidRPr="00386015">
        <w:rPr>
          <w:rFonts w:ascii="Arial" w:hAnsi="Arial" w:cs="Arial"/>
          <w:b/>
          <w:sz w:val="20"/>
          <w:szCs w:val="20"/>
        </w:rPr>
        <w:t xml:space="preserve"> 3 al 5 y almacene los resultados en un </w:t>
      </w:r>
      <w:proofErr w:type="spellStart"/>
      <w:r w:rsidRPr="00386015">
        <w:rPr>
          <w:rFonts w:ascii="Arial" w:hAnsi="Arial" w:cs="Arial"/>
          <w:b/>
          <w:sz w:val="20"/>
          <w:szCs w:val="20"/>
        </w:rPr>
        <w:t>dataframe</w:t>
      </w:r>
      <w:proofErr w:type="spellEnd"/>
      <w:r w:rsidRPr="00386015">
        <w:rPr>
          <w:rFonts w:ascii="Arial" w:hAnsi="Arial" w:cs="Arial"/>
          <w:b/>
          <w:sz w:val="20"/>
          <w:szCs w:val="20"/>
        </w:rPr>
        <w:t xml:space="preserve"> donde se pueda registro, tipo de patología y </w:t>
      </w:r>
      <w:r w:rsidR="3BC2D898" w:rsidRPr="57E6D77E">
        <w:rPr>
          <w:rFonts w:ascii="Arial" w:hAnsi="Arial" w:cs="Arial"/>
          <w:b/>
          <w:bCs/>
          <w:sz w:val="20"/>
          <w:szCs w:val="20"/>
        </w:rPr>
        <w:t>la</w:t>
      </w:r>
      <w:r w:rsidRPr="00386015">
        <w:rPr>
          <w:rFonts w:ascii="Arial" w:hAnsi="Arial" w:cs="Arial"/>
          <w:b/>
          <w:sz w:val="20"/>
          <w:szCs w:val="20"/>
        </w:rPr>
        <w:t xml:space="preserve"> frecuencia de máxima potencia (</w:t>
      </w:r>
      <w:proofErr w:type="spellStart"/>
      <w:r w:rsidRPr="00386015">
        <w:rPr>
          <w:rFonts w:ascii="Arial" w:hAnsi="Arial" w:cs="Arial"/>
          <w:b/>
          <w:sz w:val="20"/>
          <w:szCs w:val="20"/>
        </w:rPr>
        <w:t>fMP</w:t>
      </w:r>
      <w:proofErr w:type="spellEnd"/>
      <w:r w:rsidRPr="00386015">
        <w:rPr>
          <w:rFonts w:ascii="Arial" w:hAnsi="Arial" w:cs="Arial"/>
          <w:b/>
          <w:sz w:val="20"/>
          <w:szCs w:val="20"/>
        </w:rPr>
        <w:t xml:space="preserve">) y suma de frecuencias significativas en </w:t>
      </w:r>
      <w:proofErr w:type="spellStart"/>
      <w:r w:rsidRPr="00386015">
        <w:rPr>
          <w:rFonts w:ascii="Arial" w:hAnsi="Arial" w:cs="Arial"/>
          <w:b/>
          <w:sz w:val="20"/>
          <w:szCs w:val="20"/>
        </w:rPr>
        <w:t>bicoherencia</w:t>
      </w:r>
      <w:proofErr w:type="spellEnd"/>
      <w:r w:rsidRPr="00386015">
        <w:rPr>
          <w:rFonts w:ascii="Arial" w:hAnsi="Arial" w:cs="Arial"/>
          <w:b/>
          <w:sz w:val="20"/>
          <w:szCs w:val="20"/>
        </w:rPr>
        <w:t xml:space="preserve"> (</w:t>
      </w:r>
      <w:proofErr w:type="spellStart"/>
      <w:r w:rsidRPr="00386015">
        <w:rPr>
          <w:rFonts w:ascii="Arial" w:hAnsi="Arial" w:cs="Arial"/>
          <w:b/>
          <w:sz w:val="20"/>
          <w:szCs w:val="20"/>
        </w:rPr>
        <w:t>sFSB</w:t>
      </w:r>
      <w:proofErr w:type="spellEnd"/>
      <w:r w:rsidRPr="00386015">
        <w:rPr>
          <w:rFonts w:ascii="Arial" w:hAnsi="Arial" w:cs="Arial"/>
          <w:b/>
          <w:sz w:val="20"/>
          <w:szCs w:val="20"/>
        </w:rPr>
        <w:t>):</w:t>
      </w:r>
    </w:p>
    <w:p w14:paraId="25F0C0CB" w14:textId="67859073" w:rsidR="24646AE0" w:rsidRDefault="350CBBF1" w:rsidP="24646AE0">
      <w:pPr>
        <w:rPr>
          <w:rFonts w:ascii="Arial" w:hAnsi="Arial" w:cs="Arial"/>
          <w:sz w:val="20"/>
          <w:szCs w:val="20"/>
        </w:rPr>
      </w:pPr>
      <w:r w:rsidRPr="0BADA1FA">
        <w:rPr>
          <w:rFonts w:ascii="Arial" w:hAnsi="Arial" w:cs="Arial"/>
          <w:sz w:val="20"/>
          <w:szCs w:val="20"/>
        </w:rPr>
        <w:t xml:space="preserve">Se hizo uso de 2 </w:t>
      </w:r>
      <w:r w:rsidRPr="48DBC6B9">
        <w:rPr>
          <w:rFonts w:ascii="Arial" w:hAnsi="Arial" w:cs="Arial"/>
          <w:sz w:val="20"/>
          <w:szCs w:val="20"/>
        </w:rPr>
        <w:t xml:space="preserve">rutinas </w:t>
      </w:r>
      <w:r w:rsidRPr="3CBA3E2E">
        <w:rPr>
          <w:rFonts w:ascii="Arial" w:hAnsi="Arial" w:cs="Arial"/>
          <w:sz w:val="20"/>
          <w:szCs w:val="20"/>
        </w:rPr>
        <w:t xml:space="preserve">iterativas para generar </w:t>
      </w:r>
      <w:r w:rsidRPr="3D9D9D40">
        <w:rPr>
          <w:rFonts w:ascii="Arial" w:hAnsi="Arial" w:cs="Arial"/>
          <w:sz w:val="20"/>
          <w:szCs w:val="20"/>
        </w:rPr>
        <w:t xml:space="preserve">un </w:t>
      </w:r>
      <w:proofErr w:type="spellStart"/>
      <w:r w:rsidR="698C6911" w:rsidRPr="299C2A39">
        <w:rPr>
          <w:rFonts w:ascii="Arial" w:hAnsi="Arial" w:cs="Arial"/>
          <w:sz w:val="20"/>
          <w:szCs w:val="20"/>
        </w:rPr>
        <w:t>D</w:t>
      </w:r>
      <w:r w:rsidRPr="299C2A39">
        <w:rPr>
          <w:rFonts w:ascii="Arial" w:hAnsi="Arial" w:cs="Arial"/>
          <w:sz w:val="20"/>
          <w:szCs w:val="20"/>
        </w:rPr>
        <w:t>ataframe</w:t>
      </w:r>
      <w:proofErr w:type="spellEnd"/>
      <w:r w:rsidRPr="6951538A">
        <w:rPr>
          <w:rFonts w:ascii="Arial" w:hAnsi="Arial" w:cs="Arial"/>
          <w:sz w:val="20"/>
          <w:szCs w:val="20"/>
        </w:rPr>
        <w:t xml:space="preserve"> para los </w:t>
      </w:r>
      <w:r w:rsidRPr="35EB1609">
        <w:rPr>
          <w:rFonts w:ascii="Arial" w:hAnsi="Arial" w:cs="Arial"/>
          <w:sz w:val="20"/>
          <w:szCs w:val="20"/>
        </w:rPr>
        <w:t xml:space="preserve">pacientes de </w:t>
      </w:r>
      <w:r w:rsidRPr="733CB4D7">
        <w:rPr>
          <w:rFonts w:ascii="Arial" w:hAnsi="Arial" w:cs="Arial"/>
          <w:sz w:val="20"/>
          <w:szCs w:val="20"/>
        </w:rPr>
        <w:t>AFIB</w:t>
      </w:r>
      <w:r w:rsidRPr="3DB377CB">
        <w:rPr>
          <w:rFonts w:ascii="Arial" w:hAnsi="Arial" w:cs="Arial"/>
          <w:sz w:val="20"/>
          <w:szCs w:val="20"/>
        </w:rPr>
        <w:t xml:space="preserve"> y otro </w:t>
      </w:r>
      <w:r w:rsidRPr="51CB779A">
        <w:rPr>
          <w:rFonts w:ascii="Arial" w:hAnsi="Arial" w:cs="Arial"/>
          <w:sz w:val="20"/>
          <w:szCs w:val="20"/>
        </w:rPr>
        <w:t xml:space="preserve">para los </w:t>
      </w:r>
      <w:r w:rsidRPr="4B38D304">
        <w:rPr>
          <w:rFonts w:ascii="Arial" w:hAnsi="Arial" w:cs="Arial"/>
          <w:sz w:val="20"/>
          <w:szCs w:val="20"/>
        </w:rPr>
        <w:t xml:space="preserve">pacientes de </w:t>
      </w:r>
      <w:r w:rsidRPr="02213046">
        <w:rPr>
          <w:rFonts w:ascii="Arial" w:hAnsi="Arial" w:cs="Arial"/>
          <w:sz w:val="20"/>
          <w:szCs w:val="20"/>
        </w:rPr>
        <w:t xml:space="preserve">SB. </w:t>
      </w:r>
      <w:r w:rsidRPr="4BB89A37">
        <w:rPr>
          <w:rFonts w:ascii="Arial" w:hAnsi="Arial" w:cs="Arial"/>
          <w:sz w:val="20"/>
          <w:szCs w:val="20"/>
        </w:rPr>
        <w:t>La rutina utilizada puede ser</w:t>
      </w:r>
      <w:r w:rsidRPr="5E5E5FEA">
        <w:rPr>
          <w:rFonts w:ascii="Arial" w:hAnsi="Arial" w:cs="Arial"/>
          <w:sz w:val="20"/>
          <w:szCs w:val="20"/>
        </w:rPr>
        <w:t xml:space="preserve"> consultada en </w:t>
      </w:r>
      <w:r w:rsidR="5052BC1B" w:rsidRPr="5E5E5FEA">
        <w:rPr>
          <w:rFonts w:ascii="Arial" w:hAnsi="Arial" w:cs="Arial"/>
          <w:sz w:val="20"/>
          <w:szCs w:val="20"/>
        </w:rPr>
        <w:t xml:space="preserve">el </w:t>
      </w:r>
      <w:r w:rsidR="5052BC1B" w:rsidRPr="27D17A9F">
        <w:rPr>
          <w:rFonts w:ascii="Arial" w:hAnsi="Arial" w:cs="Arial"/>
          <w:sz w:val="20"/>
          <w:szCs w:val="20"/>
        </w:rPr>
        <w:t>notebook</w:t>
      </w:r>
      <w:r w:rsidR="5052BC1B" w:rsidRPr="20F91B73">
        <w:rPr>
          <w:rFonts w:ascii="Arial" w:hAnsi="Arial" w:cs="Arial"/>
          <w:sz w:val="20"/>
          <w:szCs w:val="20"/>
        </w:rPr>
        <w:t xml:space="preserve">, a </w:t>
      </w:r>
      <w:r w:rsidR="5052BC1B" w:rsidRPr="7DE82CB0">
        <w:rPr>
          <w:rFonts w:ascii="Arial" w:hAnsi="Arial" w:cs="Arial"/>
          <w:sz w:val="20"/>
          <w:szCs w:val="20"/>
        </w:rPr>
        <w:t>continuación</w:t>
      </w:r>
      <w:r w:rsidR="580111DE" w:rsidRPr="299C2A39">
        <w:rPr>
          <w:rFonts w:ascii="Arial" w:hAnsi="Arial" w:cs="Arial"/>
          <w:sz w:val="20"/>
          <w:szCs w:val="20"/>
        </w:rPr>
        <w:t>,</w:t>
      </w:r>
      <w:r w:rsidR="5052BC1B" w:rsidRPr="7DE82CB0">
        <w:rPr>
          <w:rFonts w:ascii="Arial" w:hAnsi="Arial" w:cs="Arial"/>
          <w:sz w:val="20"/>
          <w:szCs w:val="20"/>
        </w:rPr>
        <w:t xml:space="preserve"> </w:t>
      </w:r>
      <w:r w:rsidR="5052BC1B" w:rsidRPr="09B0ECB8">
        <w:rPr>
          <w:rFonts w:ascii="Arial" w:hAnsi="Arial" w:cs="Arial"/>
          <w:sz w:val="20"/>
          <w:szCs w:val="20"/>
        </w:rPr>
        <w:t xml:space="preserve">se muestra </w:t>
      </w:r>
      <w:r w:rsidR="5052BC1B" w:rsidRPr="58D2D4B8">
        <w:rPr>
          <w:rFonts w:ascii="Arial" w:hAnsi="Arial" w:cs="Arial"/>
          <w:sz w:val="20"/>
          <w:szCs w:val="20"/>
        </w:rPr>
        <w:t xml:space="preserve">parte de la </w:t>
      </w:r>
      <w:r w:rsidR="5052BC1B" w:rsidRPr="1938B282">
        <w:rPr>
          <w:rFonts w:ascii="Arial" w:hAnsi="Arial" w:cs="Arial"/>
          <w:sz w:val="20"/>
          <w:szCs w:val="20"/>
        </w:rPr>
        <w:t xml:space="preserve">rutina para </w:t>
      </w:r>
      <w:r w:rsidR="5052BC1B" w:rsidRPr="23058F69">
        <w:rPr>
          <w:rFonts w:ascii="Arial" w:hAnsi="Arial" w:cs="Arial"/>
          <w:sz w:val="20"/>
          <w:szCs w:val="20"/>
        </w:rPr>
        <w:t>AFIB:</w:t>
      </w:r>
    </w:p>
    <w:p w14:paraId="2678AE88" w14:textId="2A91E595" w:rsidR="5052BC1B" w:rsidRDefault="5052BC1B" w:rsidP="263C369D">
      <w:pPr>
        <w:rPr>
          <w:rFonts w:ascii="Arial" w:hAnsi="Arial" w:cs="Arial"/>
          <w:sz w:val="20"/>
          <w:szCs w:val="20"/>
        </w:rPr>
      </w:pPr>
      <w:r>
        <w:rPr>
          <w:noProof/>
        </w:rPr>
        <w:drawing>
          <wp:inline distT="0" distB="0" distL="0" distR="0" wp14:anchorId="7A2FDBCC" wp14:editId="084923F1">
            <wp:extent cx="6105526" cy="3715057"/>
            <wp:effectExtent l="0" t="0" r="0" b="0"/>
            <wp:docPr id="2119297254" name="Picture 211929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297254"/>
                    <pic:cNvPicPr/>
                  </pic:nvPicPr>
                  <pic:blipFill>
                    <a:blip r:embed="rId9">
                      <a:extLst>
                        <a:ext uri="{28A0092B-C50C-407E-A947-70E740481C1C}">
                          <a14:useLocalDpi xmlns:a14="http://schemas.microsoft.com/office/drawing/2010/main" val="0"/>
                        </a:ext>
                      </a:extLst>
                    </a:blip>
                    <a:stretch>
                      <a:fillRect/>
                    </a:stretch>
                  </pic:blipFill>
                  <pic:spPr>
                    <a:xfrm>
                      <a:off x="0" y="0"/>
                      <a:ext cx="6105526" cy="3715057"/>
                    </a:xfrm>
                    <a:prstGeom prst="rect">
                      <a:avLst/>
                    </a:prstGeom>
                  </pic:spPr>
                </pic:pic>
              </a:graphicData>
            </a:graphic>
          </wp:inline>
        </w:drawing>
      </w:r>
      <w:r w:rsidRPr="229878F6">
        <w:rPr>
          <w:rFonts w:ascii="Arial" w:hAnsi="Arial" w:cs="Arial"/>
          <w:sz w:val="20"/>
          <w:szCs w:val="20"/>
        </w:rPr>
        <w:t xml:space="preserve">Posteriormente ambos </w:t>
      </w:r>
      <w:proofErr w:type="spellStart"/>
      <w:r w:rsidRPr="7FC1255F">
        <w:rPr>
          <w:rFonts w:ascii="Arial" w:hAnsi="Arial" w:cs="Arial"/>
          <w:sz w:val="20"/>
          <w:szCs w:val="20"/>
        </w:rPr>
        <w:t>Dataframes</w:t>
      </w:r>
      <w:proofErr w:type="spellEnd"/>
      <w:r w:rsidRPr="7FC1255F">
        <w:rPr>
          <w:rFonts w:ascii="Arial" w:hAnsi="Arial" w:cs="Arial"/>
          <w:sz w:val="20"/>
          <w:szCs w:val="20"/>
        </w:rPr>
        <w:t xml:space="preserve"> fueron </w:t>
      </w:r>
      <w:r w:rsidRPr="1C2E3A99">
        <w:rPr>
          <w:rFonts w:ascii="Arial" w:hAnsi="Arial" w:cs="Arial"/>
          <w:sz w:val="20"/>
          <w:szCs w:val="20"/>
        </w:rPr>
        <w:t xml:space="preserve">concatenados en un </w:t>
      </w:r>
      <w:proofErr w:type="spellStart"/>
      <w:r w:rsidRPr="546AB846">
        <w:rPr>
          <w:rFonts w:ascii="Arial" w:hAnsi="Arial" w:cs="Arial"/>
          <w:sz w:val="20"/>
          <w:szCs w:val="20"/>
        </w:rPr>
        <w:t>Dataframe</w:t>
      </w:r>
      <w:proofErr w:type="spellEnd"/>
      <w:r w:rsidRPr="50D76DE5">
        <w:rPr>
          <w:rFonts w:ascii="Arial" w:hAnsi="Arial" w:cs="Arial"/>
          <w:sz w:val="20"/>
          <w:szCs w:val="20"/>
        </w:rPr>
        <w:t xml:space="preserve"> general que se usó </w:t>
      </w:r>
      <w:r w:rsidRPr="4F8D7302">
        <w:rPr>
          <w:rFonts w:ascii="Arial" w:hAnsi="Arial" w:cs="Arial"/>
          <w:sz w:val="20"/>
          <w:szCs w:val="20"/>
        </w:rPr>
        <w:t xml:space="preserve">para el </w:t>
      </w:r>
      <w:r w:rsidRPr="1B8348C5">
        <w:rPr>
          <w:rFonts w:ascii="Arial" w:hAnsi="Arial" w:cs="Arial"/>
          <w:sz w:val="20"/>
          <w:szCs w:val="20"/>
        </w:rPr>
        <w:t xml:space="preserve">análisis </w:t>
      </w:r>
      <w:r w:rsidRPr="5281EAE2">
        <w:rPr>
          <w:rFonts w:ascii="Arial" w:hAnsi="Arial" w:cs="Arial"/>
          <w:sz w:val="20"/>
          <w:szCs w:val="20"/>
        </w:rPr>
        <w:t>estadístico.</w:t>
      </w:r>
    </w:p>
    <w:p w14:paraId="720FCBFB" w14:textId="77777777" w:rsidR="00386015" w:rsidRDefault="00386015">
      <w:pPr>
        <w:rPr>
          <w:rFonts w:ascii="Arial" w:hAnsi="Arial" w:cs="Arial"/>
          <w:sz w:val="20"/>
          <w:szCs w:val="20"/>
        </w:rPr>
      </w:pPr>
    </w:p>
    <w:p w14:paraId="0DD7184F" w14:textId="30C7A164" w:rsidR="78714567" w:rsidRDefault="000B4D06" w:rsidP="3BBAAB25">
      <w:pPr>
        <w:pStyle w:val="ListParagraph"/>
        <w:numPr>
          <w:ilvl w:val="0"/>
          <w:numId w:val="5"/>
        </w:numPr>
        <w:rPr>
          <w:rFonts w:ascii="Arial" w:hAnsi="Arial" w:cs="Arial"/>
          <w:b/>
          <w:bCs/>
          <w:sz w:val="20"/>
          <w:szCs w:val="20"/>
        </w:rPr>
      </w:pPr>
      <w:r w:rsidRPr="3BBAAB25">
        <w:rPr>
          <w:rFonts w:ascii="Arial" w:hAnsi="Arial" w:cs="Arial"/>
          <w:b/>
          <w:bCs/>
          <w:sz w:val="20"/>
          <w:szCs w:val="20"/>
        </w:rPr>
        <w:t>Para</w:t>
      </w:r>
      <w:r w:rsidRPr="4777A106">
        <w:rPr>
          <w:rFonts w:ascii="Arial" w:hAnsi="Arial" w:cs="Arial"/>
          <w:b/>
          <w:sz w:val="20"/>
          <w:szCs w:val="20"/>
        </w:rPr>
        <w:t xml:space="preserve"> las señales de análisis del punto 2 aplicar las rutinas del punto 3 al 5 y hacer un informe que permita </w:t>
      </w:r>
      <w:r w:rsidRPr="00B03E06">
        <w:rPr>
          <w:rFonts w:ascii="Arial" w:hAnsi="Arial" w:cs="Arial"/>
          <w:b/>
          <w:bCs/>
          <w:sz w:val="20"/>
          <w:szCs w:val="20"/>
        </w:rPr>
        <w:t>evidenciar</w:t>
      </w:r>
      <w:r w:rsidRPr="4777A106">
        <w:rPr>
          <w:rFonts w:ascii="Arial" w:hAnsi="Arial" w:cs="Arial"/>
          <w:b/>
          <w:sz w:val="20"/>
          <w:szCs w:val="20"/>
        </w:rPr>
        <w:t xml:space="preserve"> las diferencias entre las señales SB y AFIB utilizando las herramientas de estadística descriptiva </w:t>
      </w:r>
    </w:p>
    <w:p w14:paraId="5F62805D" w14:textId="2971711E" w:rsidR="7E772E39" w:rsidRDefault="7E772E39" w:rsidP="7E772E39">
      <w:pPr>
        <w:rPr>
          <w:rFonts w:ascii="Arial" w:hAnsi="Arial" w:cs="Arial"/>
          <w:b/>
          <w:bCs/>
          <w:sz w:val="20"/>
          <w:szCs w:val="20"/>
        </w:rPr>
      </w:pPr>
    </w:p>
    <w:p w14:paraId="631BFFA9" w14:textId="41B43B35" w:rsidR="28661808" w:rsidRDefault="540C5207" w:rsidP="28661808">
      <w:pPr>
        <w:rPr>
          <w:rFonts w:ascii="Arial" w:hAnsi="Arial" w:cs="Arial"/>
          <w:b/>
          <w:bCs/>
          <w:sz w:val="20"/>
          <w:szCs w:val="20"/>
        </w:rPr>
      </w:pPr>
      <w:r w:rsidRPr="6BDCABCD">
        <w:rPr>
          <w:rFonts w:ascii="Arial" w:hAnsi="Arial" w:cs="Arial"/>
          <w:b/>
          <w:bCs/>
          <w:sz w:val="20"/>
          <w:szCs w:val="20"/>
        </w:rPr>
        <w:t>Histogramas</w:t>
      </w:r>
    </w:p>
    <w:p w14:paraId="27EA1F94" w14:textId="2AFEC6CB" w:rsidR="6BDCABCD" w:rsidRDefault="540C5207" w:rsidP="355BE73B">
      <w:pPr>
        <w:rPr>
          <w:rFonts w:ascii="Arial" w:hAnsi="Arial" w:cs="Arial"/>
          <w:b/>
          <w:bCs/>
          <w:sz w:val="20"/>
          <w:szCs w:val="20"/>
        </w:rPr>
      </w:pPr>
      <w:r>
        <w:rPr>
          <w:noProof/>
        </w:rPr>
        <w:drawing>
          <wp:inline distT="0" distB="0" distL="0" distR="0" wp14:anchorId="2CC72626" wp14:editId="192BC1D0">
            <wp:extent cx="5362342" cy="2944743"/>
            <wp:effectExtent l="0" t="0" r="0" b="0"/>
            <wp:docPr id="222537736" name="Picture 222537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37736"/>
                    <pic:cNvPicPr/>
                  </pic:nvPicPr>
                  <pic:blipFill>
                    <a:blip r:embed="rId10">
                      <a:extLst>
                        <a:ext uri="{28A0092B-C50C-407E-A947-70E740481C1C}">
                          <a14:useLocalDpi xmlns:a14="http://schemas.microsoft.com/office/drawing/2010/main" val="0"/>
                        </a:ext>
                      </a:extLst>
                    </a:blip>
                    <a:stretch>
                      <a:fillRect/>
                    </a:stretch>
                  </pic:blipFill>
                  <pic:spPr>
                    <a:xfrm>
                      <a:off x="0" y="0"/>
                      <a:ext cx="5362342" cy="2944743"/>
                    </a:xfrm>
                    <a:prstGeom prst="rect">
                      <a:avLst/>
                    </a:prstGeom>
                  </pic:spPr>
                </pic:pic>
              </a:graphicData>
            </a:graphic>
          </wp:inline>
        </w:drawing>
      </w:r>
    </w:p>
    <w:p w14:paraId="3A46B3A1" w14:textId="2E5B08AA" w:rsidR="6BDCABCD" w:rsidRDefault="6BDCABCD" w:rsidP="6BDCABCD"/>
    <w:p w14:paraId="5D9F7BFB" w14:textId="68602277" w:rsidR="6BDCABCD" w:rsidRDefault="540C5207" w:rsidP="6BDCABCD">
      <w:pPr>
        <w:rPr>
          <w:rFonts w:ascii="Arial" w:hAnsi="Arial" w:cs="Arial"/>
          <w:b/>
          <w:bCs/>
          <w:sz w:val="20"/>
          <w:szCs w:val="20"/>
        </w:rPr>
      </w:pPr>
      <w:r>
        <w:rPr>
          <w:noProof/>
        </w:rPr>
        <w:drawing>
          <wp:inline distT="0" distB="0" distL="0" distR="0" wp14:anchorId="2EF58CD0" wp14:editId="603FFD58">
            <wp:extent cx="5324477" cy="2932974"/>
            <wp:effectExtent l="0" t="0" r="0" b="0"/>
            <wp:docPr id="397075853" name="Picture 39707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75853"/>
                    <pic:cNvPicPr/>
                  </pic:nvPicPr>
                  <pic:blipFill>
                    <a:blip r:embed="rId11">
                      <a:extLst>
                        <a:ext uri="{28A0092B-C50C-407E-A947-70E740481C1C}">
                          <a14:useLocalDpi xmlns:a14="http://schemas.microsoft.com/office/drawing/2010/main" val="0"/>
                        </a:ext>
                      </a:extLst>
                    </a:blip>
                    <a:stretch>
                      <a:fillRect/>
                    </a:stretch>
                  </pic:blipFill>
                  <pic:spPr>
                    <a:xfrm>
                      <a:off x="0" y="0"/>
                      <a:ext cx="5324477" cy="2932974"/>
                    </a:xfrm>
                    <a:prstGeom prst="rect">
                      <a:avLst/>
                    </a:prstGeom>
                  </pic:spPr>
                </pic:pic>
              </a:graphicData>
            </a:graphic>
          </wp:inline>
        </w:drawing>
      </w:r>
    </w:p>
    <w:p w14:paraId="4369C694" w14:textId="5B4235D6" w:rsidR="7E772E39" w:rsidRDefault="7E772E39" w:rsidP="7E772E39">
      <w:pPr>
        <w:rPr>
          <w:rFonts w:ascii="Arial" w:hAnsi="Arial" w:cs="Arial"/>
          <w:b/>
          <w:bCs/>
          <w:sz w:val="20"/>
          <w:szCs w:val="20"/>
        </w:rPr>
      </w:pPr>
    </w:p>
    <w:p w14:paraId="641FAAD2" w14:textId="1635637E" w:rsidR="3FF50D8D" w:rsidRDefault="3FF50D8D" w:rsidP="3FF50D8D">
      <w:pPr>
        <w:rPr>
          <w:rFonts w:ascii="Arial" w:hAnsi="Arial" w:cs="Arial"/>
          <w:b/>
          <w:bCs/>
          <w:sz w:val="20"/>
          <w:szCs w:val="20"/>
        </w:rPr>
      </w:pPr>
    </w:p>
    <w:p w14:paraId="7D8ACB80" w14:textId="4934FC43" w:rsidR="07FCCA9F" w:rsidRDefault="07FCCA9F" w:rsidP="3FF50D8D">
      <w:pPr>
        <w:rPr>
          <w:rFonts w:ascii="Arial" w:hAnsi="Arial" w:cs="Arial"/>
          <w:b/>
          <w:bCs/>
          <w:sz w:val="20"/>
          <w:szCs w:val="20"/>
        </w:rPr>
      </w:pPr>
      <w:proofErr w:type="spellStart"/>
      <w:r w:rsidRPr="3615FC05">
        <w:rPr>
          <w:rFonts w:ascii="Arial" w:hAnsi="Arial" w:cs="Arial"/>
          <w:b/>
          <w:sz w:val="20"/>
          <w:szCs w:val="20"/>
        </w:rPr>
        <w:t>Boxplots</w:t>
      </w:r>
      <w:proofErr w:type="spellEnd"/>
    </w:p>
    <w:p w14:paraId="28EC6924" w14:textId="061AC6C5" w:rsidR="1BD41DF2" w:rsidRDefault="1BD41DF2" w:rsidP="1BD41DF2">
      <w:pPr>
        <w:rPr>
          <w:rFonts w:ascii="Arial" w:hAnsi="Arial" w:cs="Arial"/>
          <w:b/>
          <w:bCs/>
          <w:sz w:val="20"/>
          <w:szCs w:val="20"/>
        </w:rPr>
      </w:pPr>
    </w:p>
    <w:p w14:paraId="60583400" w14:textId="5EF999E7" w:rsidR="1BD41DF2" w:rsidRDefault="1BD41DF2" w:rsidP="1BD41DF2"/>
    <w:p w14:paraId="0CD8979A" w14:textId="4E071437" w:rsidR="4161246D" w:rsidRDefault="07FCCA9F" w:rsidP="4161246D">
      <w:pPr>
        <w:rPr>
          <w:rFonts w:ascii="Arial" w:hAnsi="Arial" w:cs="Arial"/>
          <w:b/>
          <w:bCs/>
          <w:sz w:val="20"/>
          <w:szCs w:val="20"/>
        </w:rPr>
      </w:pPr>
      <w:r>
        <w:rPr>
          <w:noProof/>
        </w:rPr>
        <w:drawing>
          <wp:inline distT="0" distB="0" distL="0" distR="0" wp14:anchorId="27DD9A8E" wp14:editId="1215475C">
            <wp:extent cx="5963467" cy="3305175"/>
            <wp:effectExtent l="0" t="0" r="0" b="0"/>
            <wp:docPr id="2070159074" name="Picture 207015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63467" cy="3305175"/>
                    </a:xfrm>
                    <a:prstGeom prst="rect">
                      <a:avLst/>
                    </a:prstGeom>
                  </pic:spPr>
                </pic:pic>
              </a:graphicData>
            </a:graphic>
          </wp:inline>
        </w:drawing>
      </w:r>
    </w:p>
    <w:p w14:paraId="7AB3BFFB" w14:textId="3AEE5FC5" w:rsidR="62CBC4A6" w:rsidRDefault="07FCCA9F" w:rsidP="62CBC4A6">
      <w:r>
        <w:rPr>
          <w:noProof/>
        </w:rPr>
        <w:drawing>
          <wp:inline distT="0" distB="0" distL="0" distR="0" wp14:anchorId="509F2778" wp14:editId="7315DF49">
            <wp:extent cx="6105526" cy="3301122"/>
            <wp:effectExtent l="0" t="0" r="0" b="0"/>
            <wp:docPr id="756268373" name="Picture 75626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105526" cy="3301122"/>
                    </a:xfrm>
                    <a:prstGeom prst="rect">
                      <a:avLst/>
                    </a:prstGeom>
                  </pic:spPr>
                </pic:pic>
              </a:graphicData>
            </a:graphic>
          </wp:inline>
        </w:drawing>
      </w:r>
    </w:p>
    <w:p w14:paraId="6CC9365A" w14:textId="23645F9D" w:rsidR="07FCCA9F" w:rsidRDefault="07FCCA9F" w:rsidP="6B7DDF82">
      <w:r w:rsidRPr="2D381EFB">
        <w:rPr>
          <w:b/>
          <w:bCs/>
        </w:rPr>
        <w:t xml:space="preserve">Gráficos </w:t>
      </w:r>
      <w:r w:rsidRPr="29C21ED3">
        <w:rPr>
          <w:b/>
          <w:bCs/>
        </w:rPr>
        <w:t>de Barras (</w:t>
      </w:r>
      <w:r w:rsidRPr="24295686">
        <w:rPr>
          <w:b/>
          <w:bCs/>
        </w:rPr>
        <w:t xml:space="preserve">Promedio </w:t>
      </w:r>
      <w:r w:rsidRPr="65B3EE9A">
        <w:rPr>
          <w:b/>
          <w:bCs/>
        </w:rPr>
        <w:t>métricas)</w:t>
      </w:r>
    </w:p>
    <w:p w14:paraId="4A61C643" w14:textId="65DB3052" w:rsidR="07FCCA9F" w:rsidRDefault="07FCCA9F" w:rsidP="68D34700">
      <w:pPr>
        <w:rPr>
          <w:b/>
          <w:bCs/>
        </w:rPr>
      </w:pPr>
      <w:r>
        <w:rPr>
          <w:noProof/>
        </w:rPr>
        <w:drawing>
          <wp:inline distT="0" distB="0" distL="0" distR="0" wp14:anchorId="20DE8356" wp14:editId="3856A555">
            <wp:extent cx="5619752" cy="3667125"/>
            <wp:effectExtent l="0" t="0" r="0" b="0"/>
            <wp:docPr id="1092963812" name="Picture 109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9752" cy="3667125"/>
                    </a:xfrm>
                    <a:prstGeom prst="rect">
                      <a:avLst/>
                    </a:prstGeom>
                  </pic:spPr>
                </pic:pic>
              </a:graphicData>
            </a:graphic>
          </wp:inline>
        </w:drawing>
      </w:r>
    </w:p>
    <w:p w14:paraId="0A6124BA" w14:textId="342C4C04" w:rsidR="65B3EE9A" w:rsidRDefault="07FCCA9F" w:rsidP="65B3EE9A">
      <w:pPr>
        <w:rPr>
          <w:b/>
          <w:bCs/>
        </w:rPr>
      </w:pPr>
      <w:r>
        <w:rPr>
          <w:noProof/>
        </w:rPr>
        <w:drawing>
          <wp:inline distT="0" distB="0" distL="0" distR="0" wp14:anchorId="1182CDC2" wp14:editId="0E2F247C">
            <wp:extent cx="5619752" cy="3619500"/>
            <wp:effectExtent l="0" t="0" r="0" b="0"/>
            <wp:docPr id="178382044" name="Picture 17838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9752" cy="3619500"/>
                    </a:xfrm>
                    <a:prstGeom prst="rect">
                      <a:avLst/>
                    </a:prstGeom>
                  </pic:spPr>
                </pic:pic>
              </a:graphicData>
            </a:graphic>
          </wp:inline>
        </w:drawing>
      </w:r>
    </w:p>
    <w:p w14:paraId="4CF8D571" w14:textId="3B55D689" w:rsidR="572AA83C" w:rsidRDefault="572AA83C" w:rsidP="64477DDC">
      <w:pPr>
        <w:pStyle w:val="ListParagraph"/>
        <w:numPr>
          <w:ilvl w:val="0"/>
          <w:numId w:val="5"/>
        </w:numPr>
        <w:rPr>
          <w:rFonts w:ascii="Arial" w:hAnsi="Arial" w:cs="Arial"/>
          <w:b/>
          <w:sz w:val="20"/>
          <w:szCs w:val="20"/>
        </w:rPr>
      </w:pPr>
      <w:r w:rsidRPr="64477DDC">
        <w:rPr>
          <w:rFonts w:ascii="Arial" w:hAnsi="Arial" w:cs="Arial"/>
          <w:b/>
          <w:sz w:val="20"/>
          <w:szCs w:val="20"/>
        </w:rPr>
        <w:t>Indicar si hay o no diferencias estadísticas entre las características espectrales del punto 4 y 5 para las dos poblaciones de estudio </w:t>
      </w:r>
    </w:p>
    <w:p w14:paraId="10E51845" w14:textId="7F70B1DD" w:rsidR="00B03E06" w:rsidRPr="00B03E06" w:rsidRDefault="00B03E06" w:rsidP="00B03E06">
      <w:pPr>
        <w:rPr>
          <w:rFonts w:ascii="Arial" w:hAnsi="Arial" w:cs="Arial"/>
          <w:sz w:val="20"/>
          <w:szCs w:val="20"/>
        </w:rPr>
      </w:pPr>
      <w:r w:rsidRPr="00B03E06">
        <w:rPr>
          <w:rFonts w:ascii="Arial" w:hAnsi="Arial" w:cs="Arial"/>
          <w:sz w:val="20"/>
          <w:szCs w:val="20"/>
        </w:rPr>
        <w:t xml:space="preserve">La evaluación de la normalidad y la comparación de las señales de SB (Sinusoidal Beat) y AFIB (Fibrilación Auricular) se llevó a cabo mediante la Prueba de Shapiro-Wilk y la Prueba de Mann-Whitney U, complementadas por estadísticas descriptivas, lo que proporciona un análisis sobre las características de estas señales biomédicas. En primer lugar, los resultados de la Prueba de Shapiro-Wilk revelaron que ambas señales, tanto en sus medidas de </w:t>
      </w:r>
      <w:proofErr w:type="spellStart"/>
      <w:r w:rsidRPr="00B03E06">
        <w:rPr>
          <w:rFonts w:ascii="Arial" w:hAnsi="Arial" w:cs="Arial"/>
          <w:sz w:val="20"/>
          <w:szCs w:val="20"/>
        </w:rPr>
        <w:t>fMP</w:t>
      </w:r>
      <w:proofErr w:type="spellEnd"/>
      <w:r w:rsidRPr="00B03E06">
        <w:rPr>
          <w:rFonts w:ascii="Arial" w:hAnsi="Arial" w:cs="Arial"/>
          <w:sz w:val="20"/>
          <w:szCs w:val="20"/>
        </w:rPr>
        <w:t xml:space="preserve"> como </w:t>
      </w:r>
      <w:proofErr w:type="spellStart"/>
      <w:r w:rsidRPr="00B03E06">
        <w:rPr>
          <w:rFonts w:ascii="Arial" w:hAnsi="Arial" w:cs="Arial"/>
          <w:sz w:val="20"/>
          <w:szCs w:val="20"/>
        </w:rPr>
        <w:t>sFSB</w:t>
      </w:r>
      <w:proofErr w:type="spellEnd"/>
      <w:r w:rsidRPr="00B03E06">
        <w:rPr>
          <w:rFonts w:ascii="Arial" w:hAnsi="Arial" w:cs="Arial"/>
          <w:sz w:val="20"/>
          <w:szCs w:val="20"/>
        </w:rPr>
        <w:t xml:space="preserve">, no siguen una distribución normal. Para la señal de </w:t>
      </w:r>
      <w:proofErr w:type="spellStart"/>
      <w:r w:rsidRPr="00B03E06">
        <w:rPr>
          <w:rFonts w:ascii="Arial" w:hAnsi="Arial" w:cs="Arial"/>
          <w:sz w:val="20"/>
          <w:szCs w:val="20"/>
        </w:rPr>
        <w:t>fMP</w:t>
      </w:r>
      <w:proofErr w:type="spellEnd"/>
      <w:r w:rsidRPr="00B03E06">
        <w:rPr>
          <w:rFonts w:ascii="Arial" w:hAnsi="Arial" w:cs="Arial"/>
          <w:sz w:val="20"/>
          <w:szCs w:val="20"/>
        </w:rPr>
        <w:t>, los resultados indicaron un estadístico de 0.5875 para SB con un p-valor de 2.71×10−702.71 \times 10</w:t>
      </w:r>
      <w:proofErr w:type="gramStart"/>
      <w:r w:rsidRPr="00B03E06">
        <w:rPr>
          <w:rFonts w:ascii="Arial" w:hAnsi="Arial" w:cs="Arial"/>
          <w:sz w:val="20"/>
          <w:szCs w:val="20"/>
        </w:rPr>
        <w:t>^{</w:t>
      </w:r>
      <w:proofErr w:type="gramEnd"/>
      <w:r w:rsidRPr="00B03E06">
        <w:rPr>
          <w:rFonts w:ascii="Arial" w:hAnsi="Arial" w:cs="Arial"/>
          <w:sz w:val="20"/>
          <w:szCs w:val="20"/>
        </w:rPr>
        <w:t xml:space="preserve">-70}2.71×10−70, y un estadístico de 0.7413 para AFIB con un p-valor de 2.78×10−462.78 \times 10^{-46}2.78×10−46. De manera similar, la prueba para </w:t>
      </w:r>
      <w:proofErr w:type="spellStart"/>
      <w:r w:rsidRPr="00B03E06">
        <w:rPr>
          <w:rFonts w:ascii="Arial" w:hAnsi="Arial" w:cs="Arial"/>
          <w:sz w:val="20"/>
          <w:szCs w:val="20"/>
        </w:rPr>
        <w:t>sFSB</w:t>
      </w:r>
      <w:proofErr w:type="spellEnd"/>
      <w:r w:rsidRPr="00B03E06">
        <w:rPr>
          <w:rFonts w:ascii="Arial" w:hAnsi="Arial" w:cs="Arial"/>
          <w:sz w:val="20"/>
          <w:szCs w:val="20"/>
        </w:rPr>
        <w:t xml:space="preserve"> arrojó un estadístico de 0.8232 para SB y 0.7495 para AFIB, ambos con p-valores que indican un rechazo firme de la hipótesis nula de normalidad</w:t>
      </w:r>
      <w:r>
        <w:rPr>
          <w:rFonts w:ascii="Arial" w:hAnsi="Arial" w:cs="Arial"/>
          <w:sz w:val="20"/>
          <w:szCs w:val="20"/>
        </w:rPr>
        <w:t xml:space="preserve">, así </w:t>
      </w:r>
      <w:r w:rsidRPr="00B03E06">
        <w:rPr>
          <w:rFonts w:ascii="Arial" w:hAnsi="Arial" w:cs="Arial"/>
          <w:sz w:val="20"/>
          <w:szCs w:val="20"/>
        </w:rPr>
        <w:t>las distribuciones de las señales en ambos grupos presentan características no normales, lo que es relevante en el contexto del análisis estadístico posterior.</w:t>
      </w:r>
    </w:p>
    <w:p w14:paraId="3FE0C816" w14:textId="77777777" w:rsidR="00B03E06" w:rsidRPr="00B03E06" w:rsidRDefault="00B03E06" w:rsidP="00B03E06">
      <w:pPr>
        <w:rPr>
          <w:rFonts w:ascii="Arial" w:hAnsi="Arial" w:cs="Arial"/>
          <w:sz w:val="20"/>
          <w:szCs w:val="20"/>
        </w:rPr>
      </w:pPr>
      <w:r w:rsidRPr="00B03E06">
        <w:rPr>
          <w:rFonts w:ascii="Arial" w:hAnsi="Arial" w:cs="Arial"/>
          <w:sz w:val="20"/>
          <w:szCs w:val="20"/>
        </w:rPr>
        <w:t xml:space="preserve">Dado que ambos conjuntos de datos no siguen una distribución normal, se aplicó la Prueba de Mann-Whitney U para comparar las muestras no paramétricas. Los resultados indicaron un valor U de 2140996.5 para </w:t>
      </w:r>
      <w:proofErr w:type="spellStart"/>
      <w:r w:rsidRPr="00B03E06">
        <w:rPr>
          <w:rFonts w:ascii="Arial" w:hAnsi="Arial" w:cs="Arial"/>
          <w:sz w:val="20"/>
          <w:szCs w:val="20"/>
        </w:rPr>
        <w:t>fMP</w:t>
      </w:r>
      <w:proofErr w:type="spellEnd"/>
      <w:r w:rsidRPr="00B03E06">
        <w:rPr>
          <w:rFonts w:ascii="Arial" w:hAnsi="Arial" w:cs="Arial"/>
          <w:sz w:val="20"/>
          <w:szCs w:val="20"/>
        </w:rPr>
        <w:t xml:space="preserve"> y un p-valor de 2.83×10−1182.83 \times 10</w:t>
      </w:r>
      <w:proofErr w:type="gramStart"/>
      <w:r w:rsidRPr="00B03E06">
        <w:rPr>
          <w:rFonts w:ascii="Arial" w:hAnsi="Arial" w:cs="Arial"/>
          <w:sz w:val="20"/>
          <w:szCs w:val="20"/>
        </w:rPr>
        <w:t>^{</w:t>
      </w:r>
      <w:proofErr w:type="gramEnd"/>
      <w:r w:rsidRPr="00B03E06">
        <w:rPr>
          <w:rFonts w:ascii="Arial" w:hAnsi="Arial" w:cs="Arial"/>
          <w:sz w:val="20"/>
          <w:szCs w:val="20"/>
        </w:rPr>
        <w:t xml:space="preserve">-118}2.83×10−118, así como un U de 4244311.0 y un p-valor de 1.12×10−421.12 \times 10^{-42}1.12×10−42 para </w:t>
      </w:r>
      <w:proofErr w:type="spellStart"/>
      <w:r w:rsidRPr="00B03E06">
        <w:rPr>
          <w:rFonts w:ascii="Arial" w:hAnsi="Arial" w:cs="Arial"/>
          <w:sz w:val="20"/>
          <w:szCs w:val="20"/>
        </w:rPr>
        <w:t>sFSB</w:t>
      </w:r>
      <w:proofErr w:type="spellEnd"/>
      <w:r w:rsidRPr="00B03E06">
        <w:rPr>
          <w:rFonts w:ascii="Arial" w:hAnsi="Arial" w:cs="Arial"/>
          <w:sz w:val="20"/>
          <w:szCs w:val="20"/>
        </w:rPr>
        <w:t>. Estos p-valores extremadamente bajos apuntan a diferencias estadísticamente significativas entre las señales de SB y AFIB, sugiriendo que las características fisiológicas y dinámicas del flujo sanguíneo en pacientes con fibrilación auricular son intrínsecamente distintas en comparación con individuos con un ritmo sinusal normal.</w:t>
      </w:r>
    </w:p>
    <w:p w14:paraId="2D68D699" w14:textId="18D1E00C" w:rsidR="00B03E06" w:rsidRPr="00B03E06" w:rsidRDefault="00B03E06" w:rsidP="00B03E06">
      <w:pPr>
        <w:rPr>
          <w:rFonts w:ascii="Arial" w:hAnsi="Arial" w:cs="Arial"/>
          <w:sz w:val="20"/>
          <w:szCs w:val="20"/>
        </w:rPr>
      </w:pPr>
      <w:r w:rsidRPr="00B03E06">
        <w:rPr>
          <w:rFonts w:ascii="Arial" w:hAnsi="Arial" w:cs="Arial"/>
          <w:sz w:val="20"/>
          <w:szCs w:val="20"/>
        </w:rPr>
        <w:t xml:space="preserve">Para proporcionar un contexto adicional a estos hallazgos, se incluyó la estadística descriptiva de cada grupo, lo que permite observar de manera más detallada las características </w:t>
      </w:r>
      <w:r>
        <w:rPr>
          <w:rFonts w:ascii="Arial" w:hAnsi="Arial" w:cs="Arial"/>
          <w:sz w:val="20"/>
          <w:szCs w:val="20"/>
        </w:rPr>
        <w:t xml:space="preserve">principales </w:t>
      </w:r>
      <w:r w:rsidRPr="00B03E06">
        <w:rPr>
          <w:rFonts w:ascii="Arial" w:hAnsi="Arial" w:cs="Arial"/>
          <w:sz w:val="20"/>
          <w:szCs w:val="20"/>
        </w:rPr>
        <w:t xml:space="preserve">y la variabilidad de los datos. Para la señal </w:t>
      </w:r>
      <w:proofErr w:type="spellStart"/>
      <w:r w:rsidRPr="00B03E06">
        <w:rPr>
          <w:rFonts w:ascii="Arial" w:hAnsi="Arial" w:cs="Arial"/>
          <w:sz w:val="20"/>
          <w:szCs w:val="20"/>
        </w:rPr>
        <w:t>fMP</w:t>
      </w:r>
      <w:proofErr w:type="spellEnd"/>
      <w:r w:rsidRPr="00B03E06">
        <w:rPr>
          <w:rFonts w:ascii="Arial" w:hAnsi="Arial" w:cs="Arial"/>
          <w:sz w:val="20"/>
          <w:szCs w:val="20"/>
        </w:rPr>
        <w:t xml:space="preserve"> de SB, se reportó un tamaño de muestra de 3889, con una media de 2.59 y una desviación estándar de 2.38, lo que indica una dispersión considerable. Los valores extremos para esta señal oscilan entre un mínimo de 0.10 y un máximo de 49.91, con percentiles que revelan una concentración significativa de datos en los rangos intercuartílicos: el 25% de los valores son 0.90 y el 75% son 3.60. Esto sugiere que, aunque hay algunos valores atípicos altos, la mayoría de las mediciones están más concentradas en un rango bajo. En contraste, la señal </w:t>
      </w:r>
      <w:proofErr w:type="spellStart"/>
      <w:r w:rsidRPr="00B03E06">
        <w:rPr>
          <w:rFonts w:ascii="Arial" w:hAnsi="Arial" w:cs="Arial"/>
          <w:sz w:val="20"/>
          <w:szCs w:val="20"/>
        </w:rPr>
        <w:t>fMP</w:t>
      </w:r>
      <w:proofErr w:type="spellEnd"/>
      <w:r w:rsidRPr="00B03E06">
        <w:rPr>
          <w:rFonts w:ascii="Arial" w:hAnsi="Arial" w:cs="Arial"/>
          <w:sz w:val="20"/>
          <w:szCs w:val="20"/>
        </w:rPr>
        <w:t xml:space="preserve"> para AFIB presentó un tamaño de muestra de 1780, con una media superior de 4.19 y una desviación estándar de 3.28, lo que también refleja una notable dispersión, con valores que van desde 0.00 hasta 49.91. Los percentiles para esta señal muestran que el 25% de los datos se encuentra en 2.30 y el 75% en 4.80, indicando que los valores son generalmente más altos en la población de AFIB.</w:t>
      </w:r>
    </w:p>
    <w:p w14:paraId="29FD86EC" w14:textId="77777777" w:rsidR="00B03E06" w:rsidRPr="00B03E06" w:rsidRDefault="00B03E06" w:rsidP="00B03E06">
      <w:pPr>
        <w:rPr>
          <w:rFonts w:ascii="Arial" w:hAnsi="Arial" w:cs="Arial"/>
          <w:sz w:val="20"/>
          <w:szCs w:val="20"/>
        </w:rPr>
      </w:pPr>
      <w:r w:rsidRPr="00B03E06">
        <w:rPr>
          <w:rFonts w:ascii="Arial" w:hAnsi="Arial" w:cs="Arial"/>
          <w:sz w:val="20"/>
          <w:szCs w:val="20"/>
        </w:rPr>
        <w:t xml:space="preserve">En el análisis de la señal </w:t>
      </w:r>
      <w:proofErr w:type="spellStart"/>
      <w:r w:rsidRPr="00B03E06">
        <w:rPr>
          <w:rFonts w:ascii="Arial" w:hAnsi="Arial" w:cs="Arial"/>
          <w:sz w:val="20"/>
          <w:szCs w:val="20"/>
        </w:rPr>
        <w:t>sFSB</w:t>
      </w:r>
      <w:proofErr w:type="spellEnd"/>
      <w:r w:rsidRPr="00B03E06">
        <w:rPr>
          <w:rFonts w:ascii="Arial" w:hAnsi="Arial" w:cs="Arial"/>
          <w:sz w:val="20"/>
          <w:szCs w:val="20"/>
        </w:rPr>
        <w:t xml:space="preserve">, los resultados para SB mostraron una media de 5581.05 y una desviación estándar de 3705.41, con un rango que va desde 717 hasta 15876, sugiriendo una variabilidad significativa en las medidas de esta señal. Por otro lado, los datos para AFIB mostraron una media más baja de 4519.48 y una desviación estándar de 3389.60, con un rango de 487 a 15776. Esto implica que, aunque los valores máximos son comparables entre los grupos, la tendencia central de las señales </w:t>
      </w:r>
      <w:proofErr w:type="spellStart"/>
      <w:r w:rsidRPr="00B03E06">
        <w:rPr>
          <w:rFonts w:ascii="Arial" w:hAnsi="Arial" w:cs="Arial"/>
          <w:sz w:val="20"/>
          <w:szCs w:val="20"/>
        </w:rPr>
        <w:t>sFSB</w:t>
      </w:r>
      <w:proofErr w:type="spellEnd"/>
      <w:r w:rsidRPr="00B03E06">
        <w:rPr>
          <w:rFonts w:ascii="Arial" w:hAnsi="Arial" w:cs="Arial"/>
          <w:sz w:val="20"/>
          <w:szCs w:val="20"/>
        </w:rPr>
        <w:t xml:space="preserve"> en pacientes con fibrilación auricular es generalmente menor que en aquellos con ritmo sinusal normal.</w:t>
      </w:r>
    </w:p>
    <w:p w14:paraId="401BAD13" w14:textId="1F271821" w:rsidR="002D39A4" w:rsidRPr="00B03E06" w:rsidRDefault="00B03E06" w:rsidP="00B03E06">
      <w:pPr>
        <w:rPr>
          <w:rFonts w:ascii="Arial" w:hAnsi="Arial" w:cs="Arial"/>
          <w:sz w:val="20"/>
          <w:szCs w:val="20"/>
        </w:rPr>
      </w:pPr>
      <w:r w:rsidRPr="00B03E06">
        <w:rPr>
          <w:rFonts w:ascii="Arial" w:hAnsi="Arial" w:cs="Arial"/>
          <w:sz w:val="20"/>
          <w:szCs w:val="20"/>
        </w:rPr>
        <w:t>Los resultados descriptivos no solo subrayan las diferencias en las medias y la variabilidad entre las señales de SB y AFIB, sino que también proporcionan un respaldo empírico sólido a los hallazgos de diferencias significativas obtenidos a través de la Prueba de Mann-Whitney U. Estas diferencias pueden tener implicaciones clínicas importantes, ya que sugieren que las señales biomédicas analizadas reflejan distintos estados fisiológicos y pueden ser utilizadas en la identificación y diagnóstico de la fibrilación auricular frente a un ritmo sinusal normal.</w:t>
      </w:r>
    </w:p>
    <w:p w14:paraId="32A42856" w14:textId="45E1C61E" w:rsidR="000B4D06" w:rsidRDefault="000B4D06">
      <w:pPr>
        <w:rPr>
          <w:rFonts w:ascii="Arial" w:hAnsi="Arial" w:cs="Arial"/>
          <w:sz w:val="20"/>
          <w:szCs w:val="20"/>
        </w:rPr>
      </w:pPr>
    </w:p>
    <w:p w14:paraId="4D7CF5CA" w14:textId="0F6D7DFA" w:rsidR="00374D91" w:rsidRDefault="00374D91">
      <w:pPr>
        <w:rPr>
          <w:rFonts w:ascii="Arial" w:hAnsi="Arial" w:cs="Arial"/>
          <w:sz w:val="20"/>
          <w:szCs w:val="20"/>
        </w:rPr>
      </w:pPr>
    </w:p>
    <w:p w14:paraId="42AA8423" w14:textId="0DC5EE8F" w:rsidR="00374D91" w:rsidRDefault="00374D91">
      <w:pPr>
        <w:rPr>
          <w:rFonts w:ascii="Arial" w:hAnsi="Arial" w:cs="Arial"/>
          <w:b/>
          <w:sz w:val="20"/>
          <w:szCs w:val="20"/>
        </w:rPr>
      </w:pPr>
      <w:r w:rsidRPr="32FA56AE">
        <w:rPr>
          <w:rFonts w:ascii="Arial" w:hAnsi="Arial" w:cs="Arial"/>
          <w:b/>
          <w:sz w:val="20"/>
          <w:szCs w:val="20"/>
        </w:rPr>
        <w:t>Bibliografía</w:t>
      </w:r>
    </w:p>
    <w:p w14:paraId="61A1FE06" w14:textId="77A7E685" w:rsidR="00374D91" w:rsidRPr="00735097" w:rsidRDefault="00A05C34">
      <w:pPr>
        <w:rPr>
          <w:b/>
          <w:sz w:val="20"/>
          <w:szCs w:val="20"/>
        </w:rPr>
      </w:pPr>
      <w:r w:rsidRPr="32FA56AE">
        <w:rPr>
          <w:rFonts w:ascii="Arial" w:hAnsi="Arial" w:cs="Arial"/>
          <w:b/>
          <w:sz w:val="20"/>
          <w:szCs w:val="20"/>
        </w:rPr>
        <w:t xml:space="preserve">[1] Jaramillo-Magaña, J. J. (2011). Análisis </w:t>
      </w:r>
      <w:proofErr w:type="spellStart"/>
      <w:r w:rsidRPr="32FA56AE">
        <w:rPr>
          <w:rFonts w:ascii="Arial" w:hAnsi="Arial" w:cs="Arial"/>
          <w:b/>
          <w:sz w:val="20"/>
          <w:szCs w:val="20"/>
        </w:rPr>
        <w:t>biespectral</w:t>
      </w:r>
      <w:proofErr w:type="spellEnd"/>
      <w:r w:rsidRPr="32FA56AE">
        <w:rPr>
          <w:rFonts w:ascii="Arial" w:hAnsi="Arial" w:cs="Arial"/>
          <w:b/>
          <w:sz w:val="20"/>
          <w:szCs w:val="20"/>
        </w:rPr>
        <w:t xml:space="preserve"> (BSA) del electroencefalograma en pacientes neuroquirúrgicos bajo TCI con </w:t>
      </w:r>
      <w:proofErr w:type="spellStart"/>
      <w:r w:rsidRPr="32FA56AE">
        <w:rPr>
          <w:rFonts w:ascii="Arial" w:hAnsi="Arial" w:cs="Arial"/>
          <w:b/>
          <w:sz w:val="20"/>
          <w:szCs w:val="20"/>
        </w:rPr>
        <w:t>propofol</w:t>
      </w:r>
      <w:proofErr w:type="spellEnd"/>
      <w:r w:rsidRPr="32FA56AE">
        <w:rPr>
          <w:rFonts w:ascii="Arial" w:hAnsi="Arial" w:cs="Arial"/>
          <w:b/>
          <w:sz w:val="20"/>
          <w:szCs w:val="20"/>
        </w:rPr>
        <w:t xml:space="preserve"> y fentanilo. </w:t>
      </w:r>
      <w:r w:rsidRPr="32FA56AE">
        <w:rPr>
          <w:rFonts w:ascii="Arial" w:hAnsi="Arial" w:cs="Arial"/>
          <w:b/>
          <w:i/>
          <w:sz w:val="20"/>
          <w:szCs w:val="20"/>
        </w:rPr>
        <w:t>Revista Mexicana de Anestesiología</w:t>
      </w:r>
      <w:r w:rsidRPr="32FA56AE">
        <w:rPr>
          <w:rFonts w:ascii="Arial" w:hAnsi="Arial" w:cs="Arial"/>
          <w:b/>
          <w:sz w:val="20"/>
          <w:szCs w:val="20"/>
        </w:rPr>
        <w:t>, 34(3), 164-175. Recuperado de </w:t>
      </w:r>
      <w:hyperlink r:id="rId16">
        <w:r w:rsidR="00735097" w:rsidRPr="32FA56AE">
          <w:rPr>
            <w:rStyle w:val="Hyperlink"/>
            <w:rFonts w:ascii="Arial" w:hAnsi="Arial" w:cs="Arial"/>
            <w:b/>
            <w:sz w:val="20"/>
            <w:szCs w:val="20"/>
          </w:rPr>
          <w:t>https://www.medigraphic.com/pdfs/rma/cma-2011/cma113c.pdf</w:t>
        </w:r>
      </w:hyperlink>
    </w:p>
    <w:p w14:paraId="3A9CE91E" w14:textId="6C798CBA" w:rsidR="00735097" w:rsidRPr="00B03E06" w:rsidRDefault="00735097">
      <w:pPr>
        <w:rPr>
          <w:rFonts w:ascii="Arial" w:hAnsi="Arial" w:cs="Arial"/>
          <w:sz w:val="20"/>
          <w:szCs w:val="20"/>
        </w:rPr>
      </w:pPr>
    </w:p>
    <w:sectPr w:rsidR="00735097" w:rsidRPr="00B03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n6sgKTKDvbkCD" int2:id="0Apt5UT9">
      <int2:state int2:value="Rejected" int2:type="AugLoop_Text_Critique"/>
    </int2:textHash>
    <int2:textHash int2:hashCode="ejhhNN//zCkdN3" int2:id="Apu7y4GS">
      <int2:state int2:value="Rejected" int2:type="AugLoop_Text_Critique"/>
    </int2:textHash>
    <int2:textHash int2:hashCode="av5Nk11C/7sxem" int2:id="BBsmCaCv">
      <int2:state int2:value="Rejected" int2:type="AugLoop_Text_Critique"/>
    </int2:textHash>
    <int2:textHash int2:hashCode="LK0cS9LVNzGj/1" int2:id="FKCT4np7">
      <int2:state int2:value="Rejected" int2:type="AugLoop_Text_Critique"/>
    </int2:textHash>
    <int2:textHash int2:hashCode="cSBBDqEaOKyZnv" int2:id="azBqNqZc">
      <int2:state int2:value="Rejected" int2:type="AugLoop_Text_Critique"/>
    </int2:textHash>
    <int2:textHash int2:hashCode="8HQNN5VJ5TM68w" int2:id="byv4vSRS">
      <int2:state int2:value="Rejected" int2:type="AugLoop_Text_Critique"/>
    </int2:textHash>
    <int2:textHash int2:hashCode="fZNQDIauWHs9n0" int2:id="vnDc93K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4C48"/>
    <w:multiLevelType w:val="multilevel"/>
    <w:tmpl w:val="56B838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6D940"/>
    <w:multiLevelType w:val="hybridMultilevel"/>
    <w:tmpl w:val="FFFFFFFF"/>
    <w:lvl w:ilvl="0" w:tplc="9CBEB86C">
      <w:start w:val="1"/>
      <w:numFmt w:val="decimal"/>
      <w:lvlText w:val="%1."/>
      <w:lvlJc w:val="left"/>
      <w:pPr>
        <w:ind w:left="720" w:hanging="360"/>
      </w:pPr>
    </w:lvl>
    <w:lvl w:ilvl="1" w:tplc="756AC122">
      <w:start w:val="1"/>
      <w:numFmt w:val="lowerLetter"/>
      <w:lvlText w:val="%2."/>
      <w:lvlJc w:val="left"/>
      <w:pPr>
        <w:ind w:left="1440" w:hanging="360"/>
      </w:pPr>
    </w:lvl>
    <w:lvl w:ilvl="2" w:tplc="C400E1D0">
      <w:start w:val="1"/>
      <w:numFmt w:val="lowerRoman"/>
      <w:lvlText w:val="%3."/>
      <w:lvlJc w:val="right"/>
      <w:pPr>
        <w:ind w:left="2160" w:hanging="180"/>
      </w:pPr>
    </w:lvl>
    <w:lvl w:ilvl="3" w:tplc="ADA6602E">
      <w:start w:val="1"/>
      <w:numFmt w:val="decimal"/>
      <w:lvlText w:val="%4."/>
      <w:lvlJc w:val="left"/>
      <w:pPr>
        <w:ind w:left="2880" w:hanging="360"/>
      </w:pPr>
    </w:lvl>
    <w:lvl w:ilvl="4" w:tplc="4A3A1C54">
      <w:start w:val="1"/>
      <w:numFmt w:val="lowerLetter"/>
      <w:lvlText w:val="%5."/>
      <w:lvlJc w:val="left"/>
      <w:pPr>
        <w:ind w:left="3600" w:hanging="360"/>
      </w:pPr>
    </w:lvl>
    <w:lvl w:ilvl="5" w:tplc="288CF598">
      <w:start w:val="1"/>
      <w:numFmt w:val="lowerRoman"/>
      <w:lvlText w:val="%6."/>
      <w:lvlJc w:val="right"/>
      <w:pPr>
        <w:ind w:left="4320" w:hanging="180"/>
      </w:pPr>
    </w:lvl>
    <w:lvl w:ilvl="6" w:tplc="7C54182E">
      <w:start w:val="1"/>
      <w:numFmt w:val="decimal"/>
      <w:lvlText w:val="%7."/>
      <w:lvlJc w:val="left"/>
      <w:pPr>
        <w:ind w:left="5040" w:hanging="360"/>
      </w:pPr>
    </w:lvl>
    <w:lvl w:ilvl="7" w:tplc="0AD282A2">
      <w:start w:val="1"/>
      <w:numFmt w:val="lowerLetter"/>
      <w:lvlText w:val="%8."/>
      <w:lvlJc w:val="left"/>
      <w:pPr>
        <w:ind w:left="5760" w:hanging="360"/>
      </w:pPr>
    </w:lvl>
    <w:lvl w:ilvl="8" w:tplc="25F81D1C">
      <w:start w:val="1"/>
      <w:numFmt w:val="lowerRoman"/>
      <w:lvlText w:val="%9."/>
      <w:lvlJc w:val="right"/>
      <w:pPr>
        <w:ind w:left="6480" w:hanging="180"/>
      </w:pPr>
    </w:lvl>
  </w:abstractNum>
  <w:abstractNum w:abstractNumId="2" w15:restartNumberingAfterBreak="0">
    <w:nsid w:val="37765EF1"/>
    <w:multiLevelType w:val="hybridMultilevel"/>
    <w:tmpl w:val="77BCCF56"/>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DC70F4"/>
    <w:multiLevelType w:val="multilevel"/>
    <w:tmpl w:val="246E11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E98B7"/>
    <w:multiLevelType w:val="hybridMultilevel"/>
    <w:tmpl w:val="FFFFFFFF"/>
    <w:lvl w:ilvl="0" w:tplc="9C0ADB9E">
      <w:start w:val="1"/>
      <w:numFmt w:val="decimal"/>
      <w:lvlText w:val="%1."/>
      <w:lvlJc w:val="left"/>
      <w:pPr>
        <w:ind w:left="720" w:hanging="360"/>
      </w:pPr>
    </w:lvl>
    <w:lvl w:ilvl="1" w:tplc="FB385254">
      <w:start w:val="1"/>
      <w:numFmt w:val="lowerLetter"/>
      <w:lvlText w:val="%2."/>
      <w:lvlJc w:val="left"/>
      <w:pPr>
        <w:ind w:left="1440" w:hanging="360"/>
      </w:pPr>
    </w:lvl>
    <w:lvl w:ilvl="2" w:tplc="CF78BE78">
      <w:start w:val="1"/>
      <w:numFmt w:val="lowerRoman"/>
      <w:lvlText w:val="%3."/>
      <w:lvlJc w:val="right"/>
      <w:pPr>
        <w:ind w:left="2160" w:hanging="180"/>
      </w:pPr>
    </w:lvl>
    <w:lvl w:ilvl="3" w:tplc="865CD82E">
      <w:start w:val="1"/>
      <w:numFmt w:val="decimal"/>
      <w:lvlText w:val="%4."/>
      <w:lvlJc w:val="left"/>
      <w:pPr>
        <w:ind w:left="2880" w:hanging="360"/>
      </w:pPr>
    </w:lvl>
    <w:lvl w:ilvl="4" w:tplc="D48207D6">
      <w:start w:val="1"/>
      <w:numFmt w:val="lowerLetter"/>
      <w:lvlText w:val="%5."/>
      <w:lvlJc w:val="left"/>
      <w:pPr>
        <w:ind w:left="3600" w:hanging="360"/>
      </w:pPr>
    </w:lvl>
    <w:lvl w:ilvl="5" w:tplc="15024196">
      <w:start w:val="1"/>
      <w:numFmt w:val="lowerRoman"/>
      <w:lvlText w:val="%6."/>
      <w:lvlJc w:val="right"/>
      <w:pPr>
        <w:ind w:left="4320" w:hanging="180"/>
      </w:pPr>
    </w:lvl>
    <w:lvl w:ilvl="6" w:tplc="7CB260D8">
      <w:start w:val="1"/>
      <w:numFmt w:val="decimal"/>
      <w:lvlText w:val="%7."/>
      <w:lvlJc w:val="left"/>
      <w:pPr>
        <w:ind w:left="5040" w:hanging="360"/>
      </w:pPr>
    </w:lvl>
    <w:lvl w:ilvl="7" w:tplc="B94AD516">
      <w:start w:val="1"/>
      <w:numFmt w:val="lowerLetter"/>
      <w:lvlText w:val="%8."/>
      <w:lvlJc w:val="left"/>
      <w:pPr>
        <w:ind w:left="5760" w:hanging="360"/>
      </w:pPr>
    </w:lvl>
    <w:lvl w:ilvl="8" w:tplc="573402B0">
      <w:start w:val="1"/>
      <w:numFmt w:val="lowerRoman"/>
      <w:lvlText w:val="%9."/>
      <w:lvlJc w:val="right"/>
      <w:pPr>
        <w:ind w:left="6480" w:hanging="180"/>
      </w:pPr>
    </w:lvl>
  </w:abstractNum>
  <w:num w:numId="1" w16cid:durableId="948657616">
    <w:abstractNumId w:val="3"/>
  </w:num>
  <w:num w:numId="2" w16cid:durableId="683476679">
    <w:abstractNumId w:val="2"/>
  </w:num>
  <w:num w:numId="3" w16cid:durableId="1256940691">
    <w:abstractNumId w:val="0"/>
  </w:num>
  <w:num w:numId="4" w16cid:durableId="1956715401">
    <w:abstractNumId w:val="4"/>
  </w:num>
  <w:num w:numId="5" w16cid:durableId="403651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06"/>
    <w:rsid w:val="00016BEE"/>
    <w:rsid w:val="00021CC9"/>
    <w:rsid w:val="00021DDC"/>
    <w:rsid w:val="00022700"/>
    <w:rsid w:val="000227D3"/>
    <w:rsid w:val="0002422E"/>
    <w:rsid w:val="00024680"/>
    <w:rsid w:val="000377BA"/>
    <w:rsid w:val="00040CB0"/>
    <w:rsid w:val="00041785"/>
    <w:rsid w:val="00043E19"/>
    <w:rsid w:val="000507FB"/>
    <w:rsid w:val="0007420C"/>
    <w:rsid w:val="000748F1"/>
    <w:rsid w:val="000A4F5E"/>
    <w:rsid w:val="000B0171"/>
    <w:rsid w:val="000B4D06"/>
    <w:rsid w:val="000D0C12"/>
    <w:rsid w:val="000D297F"/>
    <w:rsid w:val="000D7132"/>
    <w:rsid w:val="000F4B34"/>
    <w:rsid w:val="000F5BB1"/>
    <w:rsid w:val="00104AEB"/>
    <w:rsid w:val="001124B7"/>
    <w:rsid w:val="001132D6"/>
    <w:rsid w:val="00117AD4"/>
    <w:rsid w:val="001237DD"/>
    <w:rsid w:val="00124AF3"/>
    <w:rsid w:val="0014735A"/>
    <w:rsid w:val="00153353"/>
    <w:rsid w:val="001562E5"/>
    <w:rsid w:val="00172CB8"/>
    <w:rsid w:val="0018138D"/>
    <w:rsid w:val="001824A7"/>
    <w:rsid w:val="001842EC"/>
    <w:rsid w:val="00185942"/>
    <w:rsid w:val="001A3597"/>
    <w:rsid w:val="001B0A57"/>
    <w:rsid w:val="001B6753"/>
    <w:rsid w:val="001B7F49"/>
    <w:rsid w:val="001C0148"/>
    <w:rsid w:val="001C230A"/>
    <w:rsid w:val="001D1053"/>
    <w:rsid w:val="001D262E"/>
    <w:rsid w:val="001E64DA"/>
    <w:rsid w:val="001E7179"/>
    <w:rsid w:val="001F1D46"/>
    <w:rsid w:val="001F2A13"/>
    <w:rsid w:val="00200137"/>
    <w:rsid w:val="00200B40"/>
    <w:rsid w:val="00201D36"/>
    <w:rsid w:val="00201F01"/>
    <w:rsid w:val="0020230B"/>
    <w:rsid w:val="002037E0"/>
    <w:rsid w:val="00205462"/>
    <w:rsid w:val="002068C6"/>
    <w:rsid w:val="00207911"/>
    <w:rsid w:val="002119C8"/>
    <w:rsid w:val="00213EBA"/>
    <w:rsid w:val="00221364"/>
    <w:rsid w:val="002218F7"/>
    <w:rsid w:val="00221CEF"/>
    <w:rsid w:val="00231206"/>
    <w:rsid w:val="00236F7E"/>
    <w:rsid w:val="0023714E"/>
    <w:rsid w:val="002374D0"/>
    <w:rsid w:val="00253073"/>
    <w:rsid w:val="00254FC3"/>
    <w:rsid w:val="00266F0B"/>
    <w:rsid w:val="00275FB1"/>
    <w:rsid w:val="00285D51"/>
    <w:rsid w:val="0028762E"/>
    <w:rsid w:val="00291A23"/>
    <w:rsid w:val="002954C6"/>
    <w:rsid w:val="002956BB"/>
    <w:rsid w:val="002C20A1"/>
    <w:rsid w:val="002C4587"/>
    <w:rsid w:val="002C5B1D"/>
    <w:rsid w:val="002D3512"/>
    <w:rsid w:val="002D39A4"/>
    <w:rsid w:val="002F2F8C"/>
    <w:rsid w:val="002F3349"/>
    <w:rsid w:val="00301A9E"/>
    <w:rsid w:val="003026D6"/>
    <w:rsid w:val="003159BB"/>
    <w:rsid w:val="00320A60"/>
    <w:rsid w:val="00322638"/>
    <w:rsid w:val="00324F1B"/>
    <w:rsid w:val="0033309B"/>
    <w:rsid w:val="00336F86"/>
    <w:rsid w:val="00337B7D"/>
    <w:rsid w:val="003452E4"/>
    <w:rsid w:val="0035119B"/>
    <w:rsid w:val="00352AF8"/>
    <w:rsid w:val="00365468"/>
    <w:rsid w:val="003705EF"/>
    <w:rsid w:val="00370964"/>
    <w:rsid w:val="00374D91"/>
    <w:rsid w:val="00386015"/>
    <w:rsid w:val="003A3A72"/>
    <w:rsid w:val="003A6025"/>
    <w:rsid w:val="003D6815"/>
    <w:rsid w:val="003E0527"/>
    <w:rsid w:val="003E6240"/>
    <w:rsid w:val="003F58AF"/>
    <w:rsid w:val="00400403"/>
    <w:rsid w:val="00402FA2"/>
    <w:rsid w:val="00407370"/>
    <w:rsid w:val="00414EA3"/>
    <w:rsid w:val="004203CE"/>
    <w:rsid w:val="004411D5"/>
    <w:rsid w:val="00446462"/>
    <w:rsid w:val="004464DF"/>
    <w:rsid w:val="0045318F"/>
    <w:rsid w:val="00462F26"/>
    <w:rsid w:val="004650A2"/>
    <w:rsid w:val="00472CD0"/>
    <w:rsid w:val="004762B7"/>
    <w:rsid w:val="00480CDB"/>
    <w:rsid w:val="00483D9B"/>
    <w:rsid w:val="0049394F"/>
    <w:rsid w:val="004A4822"/>
    <w:rsid w:val="004A764E"/>
    <w:rsid w:val="004B3B26"/>
    <w:rsid w:val="004D0BE8"/>
    <w:rsid w:val="004D246A"/>
    <w:rsid w:val="004D3495"/>
    <w:rsid w:val="004D3D5C"/>
    <w:rsid w:val="004E13AA"/>
    <w:rsid w:val="004E62E9"/>
    <w:rsid w:val="004F0E80"/>
    <w:rsid w:val="004F39B1"/>
    <w:rsid w:val="004F513D"/>
    <w:rsid w:val="00532193"/>
    <w:rsid w:val="0054049B"/>
    <w:rsid w:val="00546AC6"/>
    <w:rsid w:val="00555045"/>
    <w:rsid w:val="00571164"/>
    <w:rsid w:val="00571F68"/>
    <w:rsid w:val="0057399B"/>
    <w:rsid w:val="005778B4"/>
    <w:rsid w:val="0058318F"/>
    <w:rsid w:val="00584C65"/>
    <w:rsid w:val="00593A55"/>
    <w:rsid w:val="005979BE"/>
    <w:rsid w:val="005A5125"/>
    <w:rsid w:val="005B0F59"/>
    <w:rsid w:val="005B3699"/>
    <w:rsid w:val="005B3899"/>
    <w:rsid w:val="005C1864"/>
    <w:rsid w:val="005C7A78"/>
    <w:rsid w:val="005E4C01"/>
    <w:rsid w:val="005F2EB2"/>
    <w:rsid w:val="006104E1"/>
    <w:rsid w:val="0062175D"/>
    <w:rsid w:val="0062565B"/>
    <w:rsid w:val="006319C2"/>
    <w:rsid w:val="00632B93"/>
    <w:rsid w:val="00633A3A"/>
    <w:rsid w:val="00640B74"/>
    <w:rsid w:val="00640FE0"/>
    <w:rsid w:val="00644256"/>
    <w:rsid w:val="0065328E"/>
    <w:rsid w:val="00661188"/>
    <w:rsid w:val="00675EE7"/>
    <w:rsid w:val="0069468D"/>
    <w:rsid w:val="006A7944"/>
    <w:rsid w:val="006B3EE9"/>
    <w:rsid w:val="006B734E"/>
    <w:rsid w:val="006C057F"/>
    <w:rsid w:val="006C3AAA"/>
    <w:rsid w:val="006D7AF8"/>
    <w:rsid w:val="006E3A40"/>
    <w:rsid w:val="006E5072"/>
    <w:rsid w:val="00701E80"/>
    <w:rsid w:val="00701EC0"/>
    <w:rsid w:val="00707EC5"/>
    <w:rsid w:val="00712298"/>
    <w:rsid w:val="007166E5"/>
    <w:rsid w:val="00735097"/>
    <w:rsid w:val="00774214"/>
    <w:rsid w:val="0077589A"/>
    <w:rsid w:val="007759F0"/>
    <w:rsid w:val="00793251"/>
    <w:rsid w:val="00796294"/>
    <w:rsid w:val="00796687"/>
    <w:rsid w:val="007A0A2A"/>
    <w:rsid w:val="007A19A0"/>
    <w:rsid w:val="007B0D4B"/>
    <w:rsid w:val="007C0A7F"/>
    <w:rsid w:val="007C3416"/>
    <w:rsid w:val="007C6680"/>
    <w:rsid w:val="007D240F"/>
    <w:rsid w:val="007D7338"/>
    <w:rsid w:val="007D790B"/>
    <w:rsid w:val="007F469E"/>
    <w:rsid w:val="007F4887"/>
    <w:rsid w:val="007F5ACF"/>
    <w:rsid w:val="007F7E45"/>
    <w:rsid w:val="00816D8E"/>
    <w:rsid w:val="008170A7"/>
    <w:rsid w:val="00820F69"/>
    <w:rsid w:val="00834784"/>
    <w:rsid w:val="008449BB"/>
    <w:rsid w:val="00855052"/>
    <w:rsid w:val="008644CC"/>
    <w:rsid w:val="0087750D"/>
    <w:rsid w:val="00881299"/>
    <w:rsid w:val="00887AB9"/>
    <w:rsid w:val="00891FF4"/>
    <w:rsid w:val="008941C3"/>
    <w:rsid w:val="008A2231"/>
    <w:rsid w:val="008A4116"/>
    <w:rsid w:val="008A437E"/>
    <w:rsid w:val="008B1242"/>
    <w:rsid w:val="008B34C9"/>
    <w:rsid w:val="008B5B83"/>
    <w:rsid w:val="008C1C8F"/>
    <w:rsid w:val="008C2F97"/>
    <w:rsid w:val="008C62A1"/>
    <w:rsid w:val="008D3254"/>
    <w:rsid w:val="008D4AD2"/>
    <w:rsid w:val="008E4EDC"/>
    <w:rsid w:val="008E5EDB"/>
    <w:rsid w:val="008E76D9"/>
    <w:rsid w:val="00927959"/>
    <w:rsid w:val="00932037"/>
    <w:rsid w:val="00934C9E"/>
    <w:rsid w:val="00937768"/>
    <w:rsid w:val="00941416"/>
    <w:rsid w:val="009501B1"/>
    <w:rsid w:val="009519BB"/>
    <w:rsid w:val="00951A85"/>
    <w:rsid w:val="00953251"/>
    <w:rsid w:val="00970E2C"/>
    <w:rsid w:val="00971E39"/>
    <w:rsid w:val="00972DC0"/>
    <w:rsid w:val="00975026"/>
    <w:rsid w:val="0098520D"/>
    <w:rsid w:val="009855A8"/>
    <w:rsid w:val="009909B3"/>
    <w:rsid w:val="00996943"/>
    <w:rsid w:val="009B2507"/>
    <w:rsid w:val="009B3EDD"/>
    <w:rsid w:val="009B6C29"/>
    <w:rsid w:val="009C0552"/>
    <w:rsid w:val="009C076C"/>
    <w:rsid w:val="009C5165"/>
    <w:rsid w:val="009C5DE1"/>
    <w:rsid w:val="009D1074"/>
    <w:rsid w:val="009E3265"/>
    <w:rsid w:val="009E399E"/>
    <w:rsid w:val="009F0C30"/>
    <w:rsid w:val="00A03FA6"/>
    <w:rsid w:val="00A05869"/>
    <w:rsid w:val="00A05C34"/>
    <w:rsid w:val="00A2594D"/>
    <w:rsid w:val="00A414FA"/>
    <w:rsid w:val="00A41A55"/>
    <w:rsid w:val="00A53084"/>
    <w:rsid w:val="00A554A1"/>
    <w:rsid w:val="00A653B8"/>
    <w:rsid w:val="00A81B0F"/>
    <w:rsid w:val="00A81F8E"/>
    <w:rsid w:val="00A97372"/>
    <w:rsid w:val="00AA24C6"/>
    <w:rsid w:val="00AB10D9"/>
    <w:rsid w:val="00AB1E04"/>
    <w:rsid w:val="00AC13CF"/>
    <w:rsid w:val="00AC2480"/>
    <w:rsid w:val="00AC6716"/>
    <w:rsid w:val="00AD5803"/>
    <w:rsid w:val="00AD7E19"/>
    <w:rsid w:val="00AE39B7"/>
    <w:rsid w:val="00AE74F7"/>
    <w:rsid w:val="00AF2CA2"/>
    <w:rsid w:val="00AF2EEC"/>
    <w:rsid w:val="00B03E06"/>
    <w:rsid w:val="00B11998"/>
    <w:rsid w:val="00B124C4"/>
    <w:rsid w:val="00B25284"/>
    <w:rsid w:val="00B270AF"/>
    <w:rsid w:val="00B30E3E"/>
    <w:rsid w:val="00B36A18"/>
    <w:rsid w:val="00B42CC1"/>
    <w:rsid w:val="00B452C3"/>
    <w:rsid w:val="00B5091D"/>
    <w:rsid w:val="00B5407A"/>
    <w:rsid w:val="00B57B43"/>
    <w:rsid w:val="00B606E6"/>
    <w:rsid w:val="00B627B6"/>
    <w:rsid w:val="00B63BFA"/>
    <w:rsid w:val="00B90658"/>
    <w:rsid w:val="00B946AA"/>
    <w:rsid w:val="00BA0978"/>
    <w:rsid w:val="00BA46F5"/>
    <w:rsid w:val="00BB2863"/>
    <w:rsid w:val="00BC041A"/>
    <w:rsid w:val="00BC05C0"/>
    <w:rsid w:val="00BC072C"/>
    <w:rsid w:val="00BC2AF6"/>
    <w:rsid w:val="00BC4CFC"/>
    <w:rsid w:val="00BD5386"/>
    <w:rsid w:val="00BD614A"/>
    <w:rsid w:val="00BE00EB"/>
    <w:rsid w:val="00BE70E9"/>
    <w:rsid w:val="00BF50D8"/>
    <w:rsid w:val="00BF6B31"/>
    <w:rsid w:val="00C02E9E"/>
    <w:rsid w:val="00C06387"/>
    <w:rsid w:val="00C135CC"/>
    <w:rsid w:val="00C13D76"/>
    <w:rsid w:val="00C14864"/>
    <w:rsid w:val="00C14B4C"/>
    <w:rsid w:val="00C251B7"/>
    <w:rsid w:val="00C45954"/>
    <w:rsid w:val="00C474EA"/>
    <w:rsid w:val="00C47C44"/>
    <w:rsid w:val="00C51938"/>
    <w:rsid w:val="00C66746"/>
    <w:rsid w:val="00C77150"/>
    <w:rsid w:val="00C8373C"/>
    <w:rsid w:val="00CC39BA"/>
    <w:rsid w:val="00CC4710"/>
    <w:rsid w:val="00CC643B"/>
    <w:rsid w:val="00CD2CF1"/>
    <w:rsid w:val="00CE1F34"/>
    <w:rsid w:val="00CF2E4E"/>
    <w:rsid w:val="00D07B5D"/>
    <w:rsid w:val="00D13F45"/>
    <w:rsid w:val="00D16CF1"/>
    <w:rsid w:val="00D176F3"/>
    <w:rsid w:val="00D33568"/>
    <w:rsid w:val="00D364CD"/>
    <w:rsid w:val="00D40C2C"/>
    <w:rsid w:val="00D4188E"/>
    <w:rsid w:val="00D50B57"/>
    <w:rsid w:val="00D521C5"/>
    <w:rsid w:val="00D76581"/>
    <w:rsid w:val="00D77849"/>
    <w:rsid w:val="00D80B7C"/>
    <w:rsid w:val="00D817B6"/>
    <w:rsid w:val="00DA273F"/>
    <w:rsid w:val="00DA63A9"/>
    <w:rsid w:val="00DB0469"/>
    <w:rsid w:val="00DB3892"/>
    <w:rsid w:val="00DD26D8"/>
    <w:rsid w:val="00DD6D09"/>
    <w:rsid w:val="00DE3C6D"/>
    <w:rsid w:val="00E0024F"/>
    <w:rsid w:val="00E03892"/>
    <w:rsid w:val="00E0564E"/>
    <w:rsid w:val="00E11387"/>
    <w:rsid w:val="00E148D9"/>
    <w:rsid w:val="00E148E8"/>
    <w:rsid w:val="00E23DED"/>
    <w:rsid w:val="00E24388"/>
    <w:rsid w:val="00E337B5"/>
    <w:rsid w:val="00E43D44"/>
    <w:rsid w:val="00E44B98"/>
    <w:rsid w:val="00E44DD1"/>
    <w:rsid w:val="00E52127"/>
    <w:rsid w:val="00E54A4F"/>
    <w:rsid w:val="00E6329C"/>
    <w:rsid w:val="00E703C7"/>
    <w:rsid w:val="00E71953"/>
    <w:rsid w:val="00E867A2"/>
    <w:rsid w:val="00E903EA"/>
    <w:rsid w:val="00E91B44"/>
    <w:rsid w:val="00E920B0"/>
    <w:rsid w:val="00EA5B51"/>
    <w:rsid w:val="00EB111A"/>
    <w:rsid w:val="00EB6670"/>
    <w:rsid w:val="00EC6094"/>
    <w:rsid w:val="00ED379E"/>
    <w:rsid w:val="00ED677B"/>
    <w:rsid w:val="00EE051B"/>
    <w:rsid w:val="00EE073B"/>
    <w:rsid w:val="00EE16F7"/>
    <w:rsid w:val="00EE1FD6"/>
    <w:rsid w:val="00EE2FE6"/>
    <w:rsid w:val="00EE4308"/>
    <w:rsid w:val="00EE4B6E"/>
    <w:rsid w:val="00EF69EB"/>
    <w:rsid w:val="00F1254B"/>
    <w:rsid w:val="00F17402"/>
    <w:rsid w:val="00F251B0"/>
    <w:rsid w:val="00F27182"/>
    <w:rsid w:val="00F31605"/>
    <w:rsid w:val="00F3264D"/>
    <w:rsid w:val="00F337B7"/>
    <w:rsid w:val="00F36FB1"/>
    <w:rsid w:val="00F463F2"/>
    <w:rsid w:val="00F47427"/>
    <w:rsid w:val="00F47FEA"/>
    <w:rsid w:val="00F4F79C"/>
    <w:rsid w:val="00F52F1A"/>
    <w:rsid w:val="00F542F4"/>
    <w:rsid w:val="00F54DC5"/>
    <w:rsid w:val="00F55B33"/>
    <w:rsid w:val="00F57630"/>
    <w:rsid w:val="00F57E09"/>
    <w:rsid w:val="00F62A2D"/>
    <w:rsid w:val="00F640C9"/>
    <w:rsid w:val="00F72F7F"/>
    <w:rsid w:val="00F7566E"/>
    <w:rsid w:val="00F838EF"/>
    <w:rsid w:val="00F84DFA"/>
    <w:rsid w:val="00FA2993"/>
    <w:rsid w:val="00FA32D7"/>
    <w:rsid w:val="00FB1387"/>
    <w:rsid w:val="00FB31D9"/>
    <w:rsid w:val="00FB4003"/>
    <w:rsid w:val="00FB665C"/>
    <w:rsid w:val="00FD265F"/>
    <w:rsid w:val="00FD5600"/>
    <w:rsid w:val="00FE148B"/>
    <w:rsid w:val="00FE3D52"/>
    <w:rsid w:val="00FE65D3"/>
    <w:rsid w:val="00FF5EFF"/>
    <w:rsid w:val="01B56CC7"/>
    <w:rsid w:val="02213046"/>
    <w:rsid w:val="0292E6DA"/>
    <w:rsid w:val="02ED9488"/>
    <w:rsid w:val="05082CF6"/>
    <w:rsid w:val="050B43FD"/>
    <w:rsid w:val="05427F61"/>
    <w:rsid w:val="0594A602"/>
    <w:rsid w:val="0673C1F0"/>
    <w:rsid w:val="06E4DF36"/>
    <w:rsid w:val="07FCCA9F"/>
    <w:rsid w:val="08179D2C"/>
    <w:rsid w:val="08ADC39D"/>
    <w:rsid w:val="09B0ECB8"/>
    <w:rsid w:val="09E199C3"/>
    <w:rsid w:val="0A5A21CC"/>
    <w:rsid w:val="0B400E15"/>
    <w:rsid w:val="0BADA1FA"/>
    <w:rsid w:val="0BE4A1C3"/>
    <w:rsid w:val="0C7CDA9D"/>
    <w:rsid w:val="0CD686CC"/>
    <w:rsid w:val="0DFA3F03"/>
    <w:rsid w:val="0E8E4625"/>
    <w:rsid w:val="0EA91460"/>
    <w:rsid w:val="106DBF60"/>
    <w:rsid w:val="11269849"/>
    <w:rsid w:val="112DE5C4"/>
    <w:rsid w:val="1271A92F"/>
    <w:rsid w:val="12A16BF1"/>
    <w:rsid w:val="13292211"/>
    <w:rsid w:val="15344C84"/>
    <w:rsid w:val="169BC61B"/>
    <w:rsid w:val="17468BEA"/>
    <w:rsid w:val="17AD6F1D"/>
    <w:rsid w:val="1805F2A8"/>
    <w:rsid w:val="18E047B1"/>
    <w:rsid w:val="19385DB3"/>
    <w:rsid w:val="1938B282"/>
    <w:rsid w:val="1A602A40"/>
    <w:rsid w:val="1A863D51"/>
    <w:rsid w:val="1B8348C5"/>
    <w:rsid w:val="1BB10574"/>
    <w:rsid w:val="1BD41DF2"/>
    <w:rsid w:val="1C2E3A99"/>
    <w:rsid w:val="1C344A53"/>
    <w:rsid w:val="1D2FEFB7"/>
    <w:rsid w:val="1D9F54B8"/>
    <w:rsid w:val="1F6A8A32"/>
    <w:rsid w:val="1F9E3A69"/>
    <w:rsid w:val="1FDA8FA6"/>
    <w:rsid w:val="20490A2E"/>
    <w:rsid w:val="20C95F76"/>
    <w:rsid w:val="20F91B73"/>
    <w:rsid w:val="20FEF2D4"/>
    <w:rsid w:val="214C5F9A"/>
    <w:rsid w:val="218D20F6"/>
    <w:rsid w:val="21B39293"/>
    <w:rsid w:val="2200EEDB"/>
    <w:rsid w:val="227D0B85"/>
    <w:rsid w:val="229878F6"/>
    <w:rsid w:val="23058F69"/>
    <w:rsid w:val="23A65A3C"/>
    <w:rsid w:val="24295686"/>
    <w:rsid w:val="24646AE0"/>
    <w:rsid w:val="24DE514C"/>
    <w:rsid w:val="24ED7A93"/>
    <w:rsid w:val="25933DA3"/>
    <w:rsid w:val="26200FBF"/>
    <w:rsid w:val="263C369D"/>
    <w:rsid w:val="263FDAEE"/>
    <w:rsid w:val="269D6566"/>
    <w:rsid w:val="27D17A9F"/>
    <w:rsid w:val="28661808"/>
    <w:rsid w:val="2988603F"/>
    <w:rsid w:val="299C2A39"/>
    <w:rsid w:val="29C21ED3"/>
    <w:rsid w:val="2A38EA08"/>
    <w:rsid w:val="2AF37923"/>
    <w:rsid w:val="2CCC152F"/>
    <w:rsid w:val="2D381EFB"/>
    <w:rsid w:val="2EDE3258"/>
    <w:rsid w:val="2F6698F8"/>
    <w:rsid w:val="2F6C9F48"/>
    <w:rsid w:val="313CE939"/>
    <w:rsid w:val="31D7C0C7"/>
    <w:rsid w:val="32CFEAEF"/>
    <w:rsid w:val="32FA56AE"/>
    <w:rsid w:val="33E5FA13"/>
    <w:rsid w:val="347E4D1A"/>
    <w:rsid w:val="34AE2ED4"/>
    <w:rsid w:val="34BF70CA"/>
    <w:rsid w:val="350CBBF1"/>
    <w:rsid w:val="355BE73B"/>
    <w:rsid w:val="356EB7BA"/>
    <w:rsid w:val="358F3B1C"/>
    <w:rsid w:val="35EB1609"/>
    <w:rsid w:val="3615FC05"/>
    <w:rsid w:val="36ACF56E"/>
    <w:rsid w:val="3764AA5E"/>
    <w:rsid w:val="378DE114"/>
    <w:rsid w:val="3895CFFA"/>
    <w:rsid w:val="38F162C9"/>
    <w:rsid w:val="38F635A1"/>
    <w:rsid w:val="3904358C"/>
    <w:rsid w:val="39D4CE34"/>
    <w:rsid w:val="3A6558CE"/>
    <w:rsid w:val="3A8733A6"/>
    <w:rsid w:val="3AE9B5D2"/>
    <w:rsid w:val="3B11F22B"/>
    <w:rsid w:val="3B1AB802"/>
    <w:rsid w:val="3BBAAB25"/>
    <w:rsid w:val="3BC2D898"/>
    <w:rsid w:val="3BCBBA07"/>
    <w:rsid w:val="3C86FC55"/>
    <w:rsid w:val="3CBA3E2E"/>
    <w:rsid w:val="3D9D9D40"/>
    <w:rsid w:val="3DB377CB"/>
    <w:rsid w:val="3FB8EDF0"/>
    <w:rsid w:val="3FF50D8D"/>
    <w:rsid w:val="401267A7"/>
    <w:rsid w:val="412879D8"/>
    <w:rsid w:val="4161246D"/>
    <w:rsid w:val="4377ED9D"/>
    <w:rsid w:val="43B38A30"/>
    <w:rsid w:val="43D98716"/>
    <w:rsid w:val="43E3FDB1"/>
    <w:rsid w:val="4437B23B"/>
    <w:rsid w:val="4438701F"/>
    <w:rsid w:val="444A2DF5"/>
    <w:rsid w:val="44A60A97"/>
    <w:rsid w:val="45D41FDD"/>
    <w:rsid w:val="45F9D01C"/>
    <w:rsid w:val="4645BB56"/>
    <w:rsid w:val="46A679D9"/>
    <w:rsid w:val="4777A106"/>
    <w:rsid w:val="48DBC6B9"/>
    <w:rsid w:val="4A00E7FA"/>
    <w:rsid w:val="4A3E5301"/>
    <w:rsid w:val="4A9A9FC2"/>
    <w:rsid w:val="4AA3A9E7"/>
    <w:rsid w:val="4B38D304"/>
    <w:rsid w:val="4B92996B"/>
    <w:rsid w:val="4BB89A37"/>
    <w:rsid w:val="4C23B7E4"/>
    <w:rsid w:val="4C242DE6"/>
    <w:rsid w:val="4F72EFD6"/>
    <w:rsid w:val="4F8D7302"/>
    <w:rsid w:val="5052BC1B"/>
    <w:rsid w:val="50D76DE5"/>
    <w:rsid w:val="51895DAE"/>
    <w:rsid w:val="51CB779A"/>
    <w:rsid w:val="5281EAE2"/>
    <w:rsid w:val="52FC0708"/>
    <w:rsid w:val="53EB0FEB"/>
    <w:rsid w:val="53FECA79"/>
    <w:rsid w:val="540C5207"/>
    <w:rsid w:val="54489A18"/>
    <w:rsid w:val="5456DB8A"/>
    <w:rsid w:val="546AB846"/>
    <w:rsid w:val="54D59105"/>
    <w:rsid w:val="54FDABF8"/>
    <w:rsid w:val="55E694C1"/>
    <w:rsid w:val="56D51AEA"/>
    <w:rsid w:val="572AA83C"/>
    <w:rsid w:val="57E29658"/>
    <w:rsid w:val="57E6D77E"/>
    <w:rsid w:val="580111DE"/>
    <w:rsid w:val="58D2D4B8"/>
    <w:rsid w:val="5BFC0F1E"/>
    <w:rsid w:val="5C0D62C0"/>
    <w:rsid w:val="5C900369"/>
    <w:rsid w:val="5D763D34"/>
    <w:rsid w:val="5E5E5FEA"/>
    <w:rsid w:val="5E87FC04"/>
    <w:rsid w:val="5ECFB208"/>
    <w:rsid w:val="5F374F70"/>
    <w:rsid w:val="5FEB6E6B"/>
    <w:rsid w:val="5FFCB63B"/>
    <w:rsid w:val="60AEAAC9"/>
    <w:rsid w:val="6133AD27"/>
    <w:rsid w:val="62CBC4A6"/>
    <w:rsid w:val="630939E4"/>
    <w:rsid w:val="63D00B20"/>
    <w:rsid w:val="64477DDC"/>
    <w:rsid w:val="65B3EE9A"/>
    <w:rsid w:val="6607F583"/>
    <w:rsid w:val="6687CBE6"/>
    <w:rsid w:val="688F2E4E"/>
    <w:rsid w:val="68D34700"/>
    <w:rsid w:val="6951538A"/>
    <w:rsid w:val="698C6911"/>
    <w:rsid w:val="6B7DDF82"/>
    <w:rsid w:val="6BD52DA2"/>
    <w:rsid w:val="6BDCABCD"/>
    <w:rsid w:val="6C4552A9"/>
    <w:rsid w:val="6C7DF39E"/>
    <w:rsid w:val="6DD6E127"/>
    <w:rsid w:val="6E4358C1"/>
    <w:rsid w:val="6ECE4298"/>
    <w:rsid w:val="6F9E6287"/>
    <w:rsid w:val="6FEBF85A"/>
    <w:rsid w:val="6FF243FE"/>
    <w:rsid w:val="6FFBF273"/>
    <w:rsid w:val="7249B3BD"/>
    <w:rsid w:val="728B6D1B"/>
    <w:rsid w:val="733CB4D7"/>
    <w:rsid w:val="748E2E3E"/>
    <w:rsid w:val="74DE5E85"/>
    <w:rsid w:val="750144B7"/>
    <w:rsid w:val="75B0961F"/>
    <w:rsid w:val="75F1E4D7"/>
    <w:rsid w:val="780AFF3A"/>
    <w:rsid w:val="78714567"/>
    <w:rsid w:val="79A64EB9"/>
    <w:rsid w:val="79D74DD2"/>
    <w:rsid w:val="79EA95B1"/>
    <w:rsid w:val="7A0631D6"/>
    <w:rsid w:val="7A7045A9"/>
    <w:rsid w:val="7A756D12"/>
    <w:rsid w:val="7B926762"/>
    <w:rsid w:val="7BC0E9C1"/>
    <w:rsid w:val="7C43E385"/>
    <w:rsid w:val="7DC62A1D"/>
    <w:rsid w:val="7DE82CB0"/>
    <w:rsid w:val="7E772E39"/>
    <w:rsid w:val="7FC125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08DF"/>
  <w15:chartTrackingRefBased/>
  <w15:docId w15:val="{CDCB2B9D-C09D-4039-BB4F-CDB53C6A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06"/>
    <w:rPr>
      <w:rFonts w:eastAsiaTheme="majorEastAsia" w:cstheme="majorBidi"/>
      <w:color w:val="272727" w:themeColor="text1" w:themeTint="D8"/>
    </w:rPr>
  </w:style>
  <w:style w:type="paragraph" w:styleId="Title">
    <w:name w:val="Title"/>
    <w:basedOn w:val="Normal"/>
    <w:next w:val="Normal"/>
    <w:link w:val="TitleChar"/>
    <w:uiPriority w:val="10"/>
    <w:qFormat/>
    <w:rsid w:val="000B4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06"/>
    <w:pPr>
      <w:spacing w:before="160"/>
      <w:jc w:val="center"/>
    </w:pPr>
    <w:rPr>
      <w:i/>
      <w:iCs/>
      <w:color w:val="404040" w:themeColor="text1" w:themeTint="BF"/>
    </w:rPr>
  </w:style>
  <w:style w:type="character" w:customStyle="1" w:styleId="QuoteChar">
    <w:name w:val="Quote Char"/>
    <w:basedOn w:val="DefaultParagraphFont"/>
    <w:link w:val="Quote"/>
    <w:uiPriority w:val="29"/>
    <w:rsid w:val="000B4D06"/>
    <w:rPr>
      <w:i/>
      <w:iCs/>
      <w:color w:val="404040" w:themeColor="text1" w:themeTint="BF"/>
    </w:rPr>
  </w:style>
  <w:style w:type="paragraph" w:styleId="ListParagraph">
    <w:name w:val="List Paragraph"/>
    <w:basedOn w:val="Normal"/>
    <w:uiPriority w:val="34"/>
    <w:qFormat/>
    <w:rsid w:val="000B4D06"/>
    <w:pPr>
      <w:ind w:left="720"/>
      <w:contextualSpacing/>
    </w:pPr>
  </w:style>
  <w:style w:type="character" w:styleId="IntenseEmphasis">
    <w:name w:val="Intense Emphasis"/>
    <w:basedOn w:val="DefaultParagraphFont"/>
    <w:uiPriority w:val="21"/>
    <w:qFormat/>
    <w:rsid w:val="000B4D06"/>
    <w:rPr>
      <w:i/>
      <w:iCs/>
      <w:color w:val="0F4761" w:themeColor="accent1" w:themeShade="BF"/>
    </w:rPr>
  </w:style>
  <w:style w:type="paragraph" w:styleId="IntenseQuote">
    <w:name w:val="Intense Quote"/>
    <w:basedOn w:val="Normal"/>
    <w:next w:val="Normal"/>
    <w:link w:val="IntenseQuoteChar"/>
    <w:uiPriority w:val="30"/>
    <w:qFormat/>
    <w:rsid w:val="000B4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06"/>
    <w:rPr>
      <w:i/>
      <w:iCs/>
      <w:color w:val="0F4761" w:themeColor="accent1" w:themeShade="BF"/>
    </w:rPr>
  </w:style>
  <w:style w:type="character" w:styleId="IntenseReference">
    <w:name w:val="Intense Reference"/>
    <w:basedOn w:val="DefaultParagraphFont"/>
    <w:uiPriority w:val="32"/>
    <w:qFormat/>
    <w:rsid w:val="000B4D06"/>
    <w:rPr>
      <w:b/>
      <w:bCs/>
      <w:smallCaps/>
      <w:color w:val="0F4761" w:themeColor="accent1" w:themeShade="BF"/>
      <w:spacing w:val="5"/>
    </w:rPr>
  </w:style>
  <w:style w:type="table" w:styleId="TableGrid">
    <w:name w:val="Table Grid"/>
    <w:basedOn w:val="TableNormal"/>
    <w:uiPriority w:val="59"/>
    <w:rsid w:val="00971E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05C34"/>
    <w:rPr>
      <w:color w:val="467886" w:themeColor="hyperlink"/>
      <w:u w:val="single"/>
    </w:rPr>
  </w:style>
  <w:style w:type="character" w:styleId="UnresolvedMention">
    <w:name w:val="Unresolved Mention"/>
    <w:basedOn w:val="DefaultParagraphFont"/>
    <w:uiPriority w:val="99"/>
    <w:semiHidden/>
    <w:unhideWhenUsed/>
    <w:rsid w:val="00A05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17709">
      <w:bodyDiv w:val="1"/>
      <w:marLeft w:val="0"/>
      <w:marRight w:val="0"/>
      <w:marTop w:val="0"/>
      <w:marBottom w:val="0"/>
      <w:divBdr>
        <w:top w:val="none" w:sz="0" w:space="0" w:color="auto"/>
        <w:left w:val="none" w:sz="0" w:space="0" w:color="auto"/>
        <w:bottom w:val="none" w:sz="0" w:space="0" w:color="auto"/>
        <w:right w:val="none" w:sz="0" w:space="0" w:color="auto"/>
      </w:divBdr>
    </w:div>
    <w:div w:id="76485873">
      <w:bodyDiv w:val="1"/>
      <w:marLeft w:val="0"/>
      <w:marRight w:val="0"/>
      <w:marTop w:val="0"/>
      <w:marBottom w:val="0"/>
      <w:divBdr>
        <w:top w:val="none" w:sz="0" w:space="0" w:color="auto"/>
        <w:left w:val="none" w:sz="0" w:space="0" w:color="auto"/>
        <w:bottom w:val="none" w:sz="0" w:space="0" w:color="auto"/>
        <w:right w:val="none" w:sz="0" w:space="0" w:color="auto"/>
      </w:divBdr>
    </w:div>
    <w:div w:id="298728956">
      <w:bodyDiv w:val="1"/>
      <w:marLeft w:val="0"/>
      <w:marRight w:val="0"/>
      <w:marTop w:val="0"/>
      <w:marBottom w:val="0"/>
      <w:divBdr>
        <w:top w:val="none" w:sz="0" w:space="0" w:color="auto"/>
        <w:left w:val="none" w:sz="0" w:space="0" w:color="auto"/>
        <w:bottom w:val="none" w:sz="0" w:space="0" w:color="auto"/>
        <w:right w:val="none" w:sz="0" w:space="0" w:color="auto"/>
      </w:divBdr>
    </w:div>
    <w:div w:id="402722034">
      <w:bodyDiv w:val="1"/>
      <w:marLeft w:val="0"/>
      <w:marRight w:val="0"/>
      <w:marTop w:val="0"/>
      <w:marBottom w:val="0"/>
      <w:divBdr>
        <w:top w:val="none" w:sz="0" w:space="0" w:color="auto"/>
        <w:left w:val="none" w:sz="0" w:space="0" w:color="auto"/>
        <w:bottom w:val="none" w:sz="0" w:space="0" w:color="auto"/>
        <w:right w:val="none" w:sz="0" w:space="0" w:color="auto"/>
      </w:divBdr>
    </w:div>
    <w:div w:id="739862615">
      <w:bodyDiv w:val="1"/>
      <w:marLeft w:val="0"/>
      <w:marRight w:val="0"/>
      <w:marTop w:val="0"/>
      <w:marBottom w:val="0"/>
      <w:divBdr>
        <w:top w:val="none" w:sz="0" w:space="0" w:color="auto"/>
        <w:left w:val="none" w:sz="0" w:space="0" w:color="auto"/>
        <w:bottom w:val="none" w:sz="0" w:space="0" w:color="auto"/>
        <w:right w:val="none" w:sz="0" w:space="0" w:color="auto"/>
      </w:divBdr>
    </w:div>
    <w:div w:id="1125195719">
      <w:bodyDiv w:val="1"/>
      <w:marLeft w:val="0"/>
      <w:marRight w:val="0"/>
      <w:marTop w:val="0"/>
      <w:marBottom w:val="0"/>
      <w:divBdr>
        <w:top w:val="none" w:sz="0" w:space="0" w:color="auto"/>
        <w:left w:val="none" w:sz="0" w:space="0" w:color="auto"/>
        <w:bottom w:val="none" w:sz="0" w:space="0" w:color="auto"/>
        <w:right w:val="none" w:sz="0" w:space="0" w:color="auto"/>
      </w:divBdr>
    </w:div>
    <w:div w:id="12925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edigraphic.com/pdfs/rma/cma-2011/cma113c.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1241</Words>
  <Characters>7077</Characters>
  <Application>Microsoft Office Word</Application>
  <DocSecurity>4</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Links>
    <vt:vector size="6" baseType="variant">
      <vt:variant>
        <vt:i4>5111888</vt:i4>
      </vt:variant>
      <vt:variant>
        <vt:i4>0</vt:i4>
      </vt:variant>
      <vt:variant>
        <vt:i4>0</vt:i4>
      </vt:variant>
      <vt:variant>
        <vt:i4>5</vt:i4>
      </vt:variant>
      <vt:variant>
        <vt:lpwstr>https://www.medigraphic.com/pdfs/rma/cma-2011/cma113c.pdf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GARCIA OBANDO</dc:creator>
  <cp:keywords/>
  <dc:description/>
  <cp:lastModifiedBy>VALENTINA GARCIA OBANDO</cp:lastModifiedBy>
  <cp:revision>214</cp:revision>
  <dcterms:created xsi:type="dcterms:W3CDTF">2024-10-21T02:36:00Z</dcterms:created>
  <dcterms:modified xsi:type="dcterms:W3CDTF">2024-10-21T04:34:00Z</dcterms:modified>
</cp:coreProperties>
</file>