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24D"/>
          <w:sz w:val="32"/>
        </w:rPr>
        <w:t>PACKAGE 3 — PROFESSIONAL PRESENCE</w:t>
      </w:r>
    </w:p>
    <w:p>
      <w:pPr>
        <w:jc w:val="center"/>
      </w:pPr>
      <w:r>
        <w:rPr>
          <w:b/>
          <w:color w:val="A86B32"/>
          <w:sz w:val="42"/>
        </w:rPr>
        <w:t>Phase 10 — Architecture / Technical Standards</w:t>
      </w:r>
    </w:p>
    <w:p>
      <w:pPr>
        <w:jc w:val="center"/>
      </w:pPr>
      <w:r>
        <w:rPr>
          <w:i/>
        </w:rPr>
        <w:t>Version 1.0</w:t>
      </w:r>
    </w:p>
    <w:p>
      <w:pPr>
        <w:jc w:val="center"/>
      </w:pPr>
      <w:r>
        <w:rPr>
          <w:sz w:val="18"/>
        </w:rPr>
        <w:t>This phase defines the technical architecture requirements and boundaries for implementation. It is primarily an engineering responsibility and should be implemented according to the team's approved stack and hosting environment.</w:t>
      </w:r>
    </w:p>
    <w:p>
      <w:pPr>
        <w:pStyle w:val="Heading1"/>
      </w:pPr>
      <w:r>
        <w:t>1. Purpose</w:t>
      </w:r>
    </w:p>
    <w:p>
      <w:r>
        <w:t>This document translates the preceding design, content, marketing, performance, and security requirements into implementation-level architectural standards. It does not prescribe one programming language, framework, hosting vendor, or deployment provider. Those decisions should be selected by the implementation owner based on the agency's standard stack and the project scope.</w:t>
      </w:r>
    </w:p>
    <w:p>
      <w:pPr>
        <w:pStyle w:val="Heading1"/>
      </w:pPr>
      <w:r>
        <w:t>2. Architecture Principles</w:t>
      </w:r>
    </w:p>
    <w:p>
      <w:pPr>
        <w:pStyle w:val="ListBullet"/>
      </w:pPr>
      <w:r>
        <w:t>Use a clear separation between presentation, page composition, content/data access, and infrastructure concerns.</w:t>
      </w:r>
    </w:p>
    <w:p>
      <w:pPr>
        <w:pStyle w:val="ListBullet"/>
      </w:pPr>
      <w:r>
        <w:t>Keep client content and configuration separate from reusable UI logic.</w:t>
      </w:r>
    </w:p>
    <w:p>
      <w:pPr>
        <w:pStyle w:val="ListBullet"/>
      </w:pPr>
      <w:r>
        <w:t>Prefer reusable page and component patterns over one-off implementations.</w:t>
      </w:r>
    </w:p>
    <w:p>
      <w:pPr>
        <w:pStyle w:val="ListBullet"/>
      </w:pPr>
      <w:r>
        <w:t>Keep the architecture scalable for new content types, pages, and template variations.</w:t>
      </w:r>
    </w:p>
    <w:p>
      <w:pPr>
        <w:pStyle w:val="ListBullet"/>
      </w:pPr>
      <w:r>
        <w:t>Avoid unnecessary backend complexity when the website does not require application behavior.</w:t>
      </w:r>
    </w:p>
    <w:p>
      <w:pPr>
        <w:pStyle w:val="ListBullet"/>
      </w:pPr>
      <w:r>
        <w:t>Keep third-party integrations isolated and replaceable where practical.</w:t>
      </w:r>
    </w:p>
    <w:p>
      <w:pPr>
        <w:pStyle w:val="ListBullet"/>
      </w:pPr>
      <w:r>
        <w:t>Build accessibility, SEO, security, and performance requirements into implementation rather than treating them as final patches.</w:t>
      </w:r>
    </w:p>
    <w:p>
      <w:pPr>
        <w:pStyle w:val="Heading1"/>
      </w:pPr>
      <w:r>
        <w:t>3. Recommended Application Structure</w:t>
      </w:r>
    </w:p>
    <w:p>
      <w:r>
        <w:t>The implementation should follow a clear separation of concerns. A representative structure is:</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Pr>
                <w:b/>
                <w:color w:val="FFFFFF"/>
                <w:sz w:val="18"/>
              </w:rPr>
              <w:t>Layer</w:t>
            </w:r>
          </w:p>
        </w:tc>
        <w:tc>
          <w:tcPr>
            <w:tcW w:type="dxa" w:w="5112"/>
            <w:shd w:fill="17324D"/>
          </w:tcPr>
          <w:p>
            <w:r>
              <w:rPr>
                <w:b/>
                <w:color w:val="FFFFFF"/>
                <w:sz w:val="18"/>
              </w:rPr>
              <w:t>Responsibility</w:t>
            </w:r>
          </w:p>
        </w:tc>
      </w:tr>
      <w:tr>
        <w:tc>
          <w:tcPr>
            <w:tcW w:type="dxa" w:w="5112"/>
            <w:vAlign w:val="top"/>
          </w:tcPr>
          <w:p>
            <w:r>
              <w:rPr>
                <w:sz w:val="17"/>
              </w:rPr>
              <w:t>App / Shell</w:t>
            </w:r>
          </w:p>
        </w:tc>
        <w:tc>
          <w:tcPr>
            <w:tcW w:type="dxa" w:w="5112"/>
            <w:vAlign w:val="top"/>
          </w:tcPr>
          <w:p>
            <w:r>
              <w:rPr>
                <w:sz w:val="17"/>
              </w:rPr>
              <w:t>Global layout, providers, navigation, footer, routing entry points</w:t>
            </w:r>
          </w:p>
        </w:tc>
      </w:tr>
      <w:tr>
        <w:tc>
          <w:tcPr>
            <w:tcW w:type="dxa" w:w="5112"/>
            <w:vAlign w:val="top"/>
          </w:tcPr>
          <w:p>
            <w:r>
              <w:rPr>
                <w:sz w:val="17"/>
              </w:rPr>
              <w:t>Pages / Routes</w:t>
            </w:r>
          </w:p>
        </w:tc>
        <w:tc>
          <w:tcPr>
            <w:tcW w:type="dxa" w:w="5112"/>
            <w:vAlign w:val="top"/>
          </w:tcPr>
          <w:p>
            <w:r>
              <w:rPr>
                <w:sz w:val="17"/>
              </w:rPr>
              <w:t>Page-level composition based on the approved IA and page templates</w:t>
            </w:r>
          </w:p>
        </w:tc>
      </w:tr>
      <w:tr>
        <w:tc>
          <w:tcPr>
            <w:tcW w:type="dxa" w:w="5112"/>
            <w:vAlign w:val="top"/>
          </w:tcPr>
          <w:p>
            <w:r>
              <w:rPr>
                <w:sz w:val="17"/>
              </w:rPr>
              <w:t>Sections / Patterns</w:t>
            </w:r>
          </w:p>
        </w:tc>
        <w:tc>
          <w:tcPr>
            <w:tcW w:type="dxa" w:w="5112"/>
            <w:vAlign w:val="top"/>
          </w:tcPr>
          <w:p>
            <w:r>
              <w:rPr>
                <w:sz w:val="17"/>
              </w:rPr>
              <w:t>Reusable page sections assembled from components</w:t>
            </w:r>
          </w:p>
        </w:tc>
      </w:tr>
      <w:tr>
        <w:tc>
          <w:tcPr>
            <w:tcW w:type="dxa" w:w="5112"/>
            <w:vAlign w:val="top"/>
          </w:tcPr>
          <w:p>
            <w:r>
              <w:rPr>
                <w:sz w:val="17"/>
              </w:rPr>
              <w:t>Components</w:t>
            </w:r>
          </w:p>
        </w:tc>
        <w:tc>
          <w:tcPr>
            <w:tcW w:type="dxa" w:w="5112"/>
            <w:vAlign w:val="top"/>
          </w:tcPr>
          <w:p>
            <w:r>
              <w:rPr>
                <w:sz w:val="17"/>
              </w:rPr>
              <w:t>Reusable UI elements with consistent states and responsive behavior</w:t>
            </w:r>
          </w:p>
        </w:tc>
      </w:tr>
      <w:tr>
        <w:tc>
          <w:tcPr>
            <w:tcW w:type="dxa" w:w="5112"/>
            <w:vAlign w:val="top"/>
          </w:tcPr>
          <w:p>
            <w:r>
              <w:rPr>
                <w:sz w:val="17"/>
              </w:rPr>
              <w:t>Content / Configuration</w:t>
            </w:r>
          </w:p>
        </w:tc>
        <w:tc>
          <w:tcPr>
            <w:tcW w:type="dxa" w:w="5112"/>
            <w:vAlign w:val="top"/>
          </w:tcPr>
          <w:p>
            <w:r>
              <w:rPr>
                <w:sz w:val="17"/>
              </w:rPr>
              <w:t>Client content, navigation configuration, template settings, SEO metadata</w:t>
            </w:r>
          </w:p>
        </w:tc>
      </w:tr>
      <w:tr>
        <w:tc>
          <w:tcPr>
            <w:tcW w:type="dxa" w:w="5112"/>
            <w:vAlign w:val="top"/>
          </w:tcPr>
          <w:p>
            <w:r>
              <w:rPr>
                <w:sz w:val="17"/>
              </w:rPr>
              <w:t>Services / Integrations</w:t>
            </w:r>
          </w:p>
        </w:tc>
        <w:tc>
          <w:tcPr>
            <w:tcW w:type="dxa" w:w="5112"/>
            <w:vAlign w:val="top"/>
          </w:tcPr>
          <w:p>
            <w:r>
              <w:rPr>
                <w:sz w:val="17"/>
              </w:rPr>
              <w:t>Forms, analytics, maps, WhatsApp, third-party APIs and external services</w:t>
            </w:r>
          </w:p>
        </w:tc>
      </w:tr>
      <w:tr>
        <w:tc>
          <w:tcPr>
            <w:tcW w:type="dxa" w:w="5112"/>
            <w:vAlign w:val="top"/>
          </w:tcPr>
          <w:p>
            <w:r>
              <w:rPr>
                <w:sz w:val="17"/>
              </w:rPr>
              <w:t>Utilities</w:t>
            </w:r>
          </w:p>
        </w:tc>
        <w:tc>
          <w:tcPr>
            <w:tcW w:type="dxa" w:w="5112"/>
            <w:vAlign w:val="top"/>
          </w:tcPr>
          <w:p>
            <w:r>
              <w:rPr>
                <w:sz w:val="17"/>
              </w:rPr>
              <w:t>Shared formatting, validation, helpers, constants, and common logic</w:t>
            </w:r>
          </w:p>
        </w:tc>
      </w:tr>
    </w:tbl>
    <w:p/>
    <w:p>
      <w:pPr>
        <w:pStyle w:val="Heading1"/>
      </w:pPr>
      <w:r>
        <w:t>4. Routing &amp; Page Architecture</w:t>
      </w:r>
    </w:p>
    <w:p>
      <w:pPr>
        <w:pStyle w:val="ListBullet"/>
      </w:pPr>
      <w:r>
        <w:t>Routes should map to the approved Information Architecture and use readable, stable URLs.</w:t>
      </w:r>
    </w:p>
    <w:p>
      <w:pPr>
        <w:pStyle w:val="ListBullet"/>
      </w:pPr>
      <w:r>
        <w:t>Page components should represent page-level compositions, not reusable UI primitives.</w:t>
      </w:r>
    </w:p>
    <w:p>
      <w:pPr>
        <w:pStyle w:val="ListBullet"/>
      </w:pPr>
      <w:r>
        <w:t>Detail routes should support dynamic content where repeated content types exist.</w:t>
      </w:r>
    </w:p>
    <w:p>
      <w:pPr>
        <w:pStyle w:val="ListBullet"/>
      </w:pPr>
      <w:r>
        <w:t>404 and error states should be included in the application shell.</w:t>
      </w:r>
    </w:p>
    <w:p>
      <w:pPr>
        <w:pStyle w:val="ListBullet"/>
      </w:pPr>
      <w:r>
        <w:t>Canonical route behavior, redirects, and trailing-slash conventions should be consistent across the site.</w:t>
      </w:r>
    </w:p>
    <w:p>
      <w:pPr>
        <w:pStyle w:val="ListBullet"/>
      </w:pPr>
      <w:r>
        <w:t>Navigation should be generated from one trusted configuration/content source where practical, avoiding duplicated menu definitions.</w:t>
      </w:r>
    </w:p>
    <w:p>
      <w:pPr>
        <w:pStyle w:val="Heading1"/>
      </w:pPr>
      <w:r>
        <w:t>5. Template &amp; Component Architecture</w:t>
      </w:r>
    </w:p>
    <w:p>
      <w:r>
        <w:t>The three Professional Presence templates should share the same underlying component principles while allowing template-specific composition and visual tokens.</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Pr>
                <w:b/>
                <w:color w:val="FFFFFF"/>
                <w:sz w:val="18"/>
              </w:rPr>
              <w:t>Architecture rule</w:t>
            </w:r>
          </w:p>
        </w:tc>
        <w:tc>
          <w:tcPr>
            <w:tcW w:type="dxa" w:w="5112"/>
            <w:shd w:fill="17324D"/>
          </w:tcPr>
          <w:p>
            <w:r>
              <w:rPr>
                <w:b/>
                <w:color w:val="FFFFFF"/>
                <w:sz w:val="18"/>
              </w:rPr>
              <w:t>Requirement</w:t>
            </w:r>
          </w:p>
        </w:tc>
      </w:tr>
      <w:tr>
        <w:tc>
          <w:tcPr>
            <w:tcW w:type="dxa" w:w="5112"/>
            <w:vAlign w:val="top"/>
          </w:tcPr>
          <w:p>
            <w:r>
              <w:rPr>
                <w:sz w:val="17"/>
              </w:rPr>
              <w:t>Shared components</w:t>
            </w:r>
          </w:p>
        </w:tc>
        <w:tc>
          <w:tcPr>
            <w:tcW w:type="dxa" w:w="5112"/>
            <w:vAlign w:val="top"/>
          </w:tcPr>
          <w:p>
            <w:r>
              <w:rPr>
                <w:sz w:val="17"/>
              </w:rPr>
              <w:t>Use common components for recurring behavior and structure.</w:t>
            </w:r>
          </w:p>
        </w:tc>
      </w:tr>
      <w:tr>
        <w:tc>
          <w:tcPr>
            <w:tcW w:type="dxa" w:w="5112"/>
            <w:vAlign w:val="top"/>
          </w:tcPr>
          <w:p>
            <w:r>
              <w:rPr>
                <w:sz w:val="17"/>
              </w:rPr>
              <w:t>Template variants</w:t>
            </w:r>
          </w:p>
        </w:tc>
        <w:tc>
          <w:tcPr>
            <w:tcW w:type="dxa" w:w="5112"/>
            <w:vAlign w:val="top"/>
          </w:tcPr>
          <w:p>
            <w:r>
              <w:rPr>
                <w:sz w:val="17"/>
              </w:rPr>
              <w:t>Use controlled variants rather than duplicated components when only visual treatment changes.</w:t>
            </w:r>
          </w:p>
        </w:tc>
      </w:tr>
      <w:tr>
        <w:tc>
          <w:tcPr>
            <w:tcW w:type="dxa" w:w="5112"/>
            <w:vAlign w:val="top"/>
          </w:tcPr>
          <w:p>
            <w:r>
              <w:rPr>
                <w:sz w:val="17"/>
              </w:rPr>
              <w:t>Page composition</w:t>
            </w:r>
          </w:p>
        </w:tc>
        <w:tc>
          <w:tcPr>
            <w:tcW w:type="dxa" w:w="5112"/>
            <w:vAlign w:val="top"/>
          </w:tcPr>
          <w:p>
            <w:r>
              <w:rPr>
                <w:sz w:val="17"/>
              </w:rPr>
              <w:t>Pages assemble sections; sections assemble components.</w:t>
            </w:r>
          </w:p>
        </w:tc>
      </w:tr>
      <w:tr>
        <w:tc>
          <w:tcPr>
            <w:tcW w:type="dxa" w:w="5112"/>
            <w:vAlign w:val="top"/>
          </w:tcPr>
          <w:p>
            <w:r>
              <w:rPr>
                <w:sz w:val="17"/>
              </w:rPr>
              <w:t>Client customization</w:t>
            </w:r>
          </w:p>
        </w:tc>
        <w:tc>
          <w:tcPr>
            <w:tcW w:type="dxa" w:w="5112"/>
            <w:vAlign w:val="top"/>
          </w:tcPr>
          <w:p>
            <w:r>
              <w:rPr>
                <w:sz w:val="17"/>
              </w:rPr>
              <w:t>Prefer configuration, content, and theme tokens before creating forks.</w:t>
            </w:r>
          </w:p>
        </w:tc>
      </w:tr>
      <w:tr>
        <w:tc>
          <w:tcPr>
            <w:tcW w:type="dxa" w:w="5112"/>
            <w:vAlign w:val="top"/>
          </w:tcPr>
          <w:p>
            <w:r>
              <w:rPr>
                <w:sz w:val="17"/>
              </w:rPr>
              <w:t>Exceptions</w:t>
            </w:r>
          </w:p>
        </w:tc>
        <w:tc>
          <w:tcPr>
            <w:tcW w:type="dxa" w:w="5112"/>
            <w:vAlign w:val="top"/>
          </w:tcPr>
          <w:p>
            <w:r>
              <w:rPr>
                <w:sz w:val="17"/>
              </w:rPr>
              <w:t>Project-specific exceptions should be documented and justified.</w:t>
            </w:r>
          </w:p>
        </w:tc>
      </w:tr>
    </w:tbl>
    <w:p/>
    <w:p>
      <w:pPr>
        <w:pStyle w:val="Heading1"/>
      </w:pPr>
      <w:r>
        <w:t>6. Content &amp; Data Architecture</w:t>
      </w:r>
    </w:p>
    <w:p>
      <w:pPr>
        <w:pStyle w:val="ListBullet"/>
      </w:pPr>
      <w:r>
        <w:t>Repeated content types such as projects, news, resources, services, products, leadership, and careers should use structured content models when appropriate.</w:t>
      </w:r>
    </w:p>
    <w:p>
      <w:pPr>
        <w:pStyle w:val="ListBullet"/>
      </w:pPr>
      <w:r>
        <w:t>Content should not be hardcoded across many page files when it is expected to change or repeat.</w:t>
      </w:r>
    </w:p>
    <w:p>
      <w:pPr>
        <w:pStyle w:val="ListBullet"/>
      </w:pPr>
      <w:r>
        <w:t>Content relationships defined in Phase 6 should be preserved in the implementation.</w:t>
      </w:r>
    </w:p>
    <w:p>
      <w:pPr>
        <w:pStyle w:val="ListBullet"/>
      </w:pPr>
      <w:r>
        <w:t>Use stable identifiers/slugs for repeated content.</w:t>
      </w:r>
    </w:p>
    <w:p>
      <w:pPr>
        <w:pStyle w:val="ListBullet"/>
      </w:pPr>
      <w:r>
        <w:t>If no CMS is included, content management should still follow a predictable source-of-truth structure approved by the team.</w:t>
      </w:r>
    </w:p>
    <w:p>
      <w:pPr>
        <w:pStyle w:val="ListBullet"/>
      </w:pPr>
      <w:r>
        <w:t>Client-specific data should remain separable from reusable template code.</w:t>
      </w:r>
    </w:p>
    <w:p>
      <w:pPr>
        <w:pStyle w:val="Heading1"/>
      </w:pPr>
      <w:r>
        <w:t>7. Configuration Strategy</w:t>
      </w:r>
    </w:p>
    <w:p>
      <w:r>
        <w:t>Configuration should be separated from application logic where practical. Suitable configuration areas include navigation, template selection, theme values, contact information, social links, feature flags, analytics identifiers, and integration settings.</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Pr>
                <w:b/>
                <w:color w:val="FFFFFF"/>
                <w:sz w:val="18"/>
              </w:rPr>
              <w:t>Configuration type</w:t>
            </w:r>
          </w:p>
        </w:tc>
        <w:tc>
          <w:tcPr>
            <w:tcW w:type="dxa" w:w="5112"/>
            <w:shd w:fill="17324D"/>
          </w:tcPr>
          <w:p>
            <w:r>
              <w:rPr>
                <w:b/>
                <w:color w:val="FFFFFF"/>
                <w:sz w:val="18"/>
              </w:rPr>
              <w:t>Examples</w:t>
            </w:r>
          </w:p>
        </w:tc>
      </w:tr>
      <w:tr>
        <w:tc>
          <w:tcPr>
            <w:tcW w:type="dxa" w:w="5112"/>
            <w:vAlign w:val="top"/>
          </w:tcPr>
          <w:p>
            <w:r>
              <w:rPr>
                <w:sz w:val="17"/>
              </w:rPr>
              <w:t>Brand</w:t>
            </w:r>
          </w:p>
        </w:tc>
        <w:tc>
          <w:tcPr>
            <w:tcW w:type="dxa" w:w="5112"/>
            <w:vAlign w:val="top"/>
          </w:tcPr>
          <w:p>
            <w:r>
              <w:rPr>
                <w:sz w:val="17"/>
              </w:rPr>
              <w:t>Logo, colors, typography choices, imagery rules</w:t>
            </w:r>
          </w:p>
        </w:tc>
      </w:tr>
      <w:tr>
        <w:tc>
          <w:tcPr>
            <w:tcW w:type="dxa" w:w="5112"/>
            <w:vAlign w:val="top"/>
          </w:tcPr>
          <w:p>
            <w:r>
              <w:rPr>
                <w:sz w:val="17"/>
              </w:rPr>
              <w:t>Site</w:t>
            </w:r>
          </w:p>
        </w:tc>
        <w:tc>
          <w:tcPr>
            <w:tcW w:type="dxa" w:w="5112"/>
            <w:vAlign w:val="top"/>
          </w:tcPr>
          <w:p>
            <w:r>
              <w:rPr>
                <w:sz w:val="17"/>
              </w:rPr>
              <w:t>Site name, domains, navigation labels, contact information</w:t>
            </w:r>
          </w:p>
        </w:tc>
      </w:tr>
      <w:tr>
        <w:tc>
          <w:tcPr>
            <w:tcW w:type="dxa" w:w="5112"/>
            <w:vAlign w:val="top"/>
          </w:tcPr>
          <w:p>
            <w:r>
              <w:rPr>
                <w:sz w:val="17"/>
              </w:rPr>
              <w:t>Template</w:t>
            </w:r>
          </w:p>
        </w:tc>
        <w:tc>
          <w:tcPr>
            <w:tcW w:type="dxa" w:w="5112"/>
            <w:vAlign w:val="top"/>
          </w:tcPr>
          <w:p>
            <w:r>
              <w:rPr>
                <w:sz w:val="17"/>
              </w:rPr>
              <w:t>Selected template direction, feature variations, section options</w:t>
            </w:r>
          </w:p>
        </w:tc>
      </w:tr>
      <w:tr>
        <w:tc>
          <w:tcPr>
            <w:tcW w:type="dxa" w:w="5112"/>
            <w:vAlign w:val="top"/>
          </w:tcPr>
          <w:p>
            <w:r>
              <w:rPr>
                <w:sz w:val="17"/>
              </w:rPr>
              <w:t>SEO</w:t>
            </w:r>
          </w:p>
        </w:tc>
        <w:tc>
          <w:tcPr>
            <w:tcW w:type="dxa" w:w="5112"/>
            <w:vAlign w:val="top"/>
          </w:tcPr>
          <w:p>
            <w:r>
              <w:rPr>
                <w:sz w:val="17"/>
              </w:rPr>
              <w:t>Default metadata, social metadata, sitemap settings</w:t>
            </w:r>
          </w:p>
        </w:tc>
      </w:tr>
      <w:tr>
        <w:tc>
          <w:tcPr>
            <w:tcW w:type="dxa" w:w="5112"/>
            <w:vAlign w:val="top"/>
          </w:tcPr>
          <w:p>
            <w:r>
              <w:rPr>
                <w:sz w:val="17"/>
              </w:rPr>
              <w:t>Analytics</w:t>
            </w:r>
          </w:p>
        </w:tc>
        <w:tc>
          <w:tcPr>
            <w:tcW w:type="dxa" w:w="5112"/>
            <w:vAlign w:val="top"/>
          </w:tcPr>
          <w:p>
            <w:r>
              <w:rPr>
                <w:sz w:val="17"/>
              </w:rPr>
              <w:t>Measurement IDs and event configuration</w:t>
            </w:r>
          </w:p>
        </w:tc>
      </w:tr>
      <w:tr>
        <w:tc>
          <w:tcPr>
            <w:tcW w:type="dxa" w:w="5112"/>
            <w:vAlign w:val="top"/>
          </w:tcPr>
          <w:p>
            <w:r>
              <w:rPr>
                <w:sz w:val="17"/>
              </w:rPr>
              <w:t>Integrations</w:t>
            </w:r>
          </w:p>
        </w:tc>
        <w:tc>
          <w:tcPr>
            <w:tcW w:type="dxa" w:w="5112"/>
            <w:vAlign w:val="top"/>
          </w:tcPr>
          <w:p>
            <w:r>
              <w:rPr>
                <w:sz w:val="17"/>
              </w:rPr>
              <w:t>Maps, WhatsApp, forms, external services</w:t>
            </w:r>
          </w:p>
        </w:tc>
      </w:tr>
    </w:tbl>
    <w:p/>
    <w:p>
      <w:pPr>
        <w:pStyle w:val="Heading1"/>
      </w:pPr>
      <w:r>
        <w:t>8. Environment &amp; Secrets</w:t>
      </w:r>
    </w:p>
    <w:p>
      <w:pPr>
        <w:pStyle w:val="ListBullet"/>
      </w:pPr>
      <w:r>
        <w:t>Secrets must never be committed to source control.</w:t>
      </w:r>
    </w:p>
    <w:p>
      <w:pPr>
        <w:pStyle w:val="ListBullet"/>
      </w:pPr>
      <w:r>
        <w:t>Use environment-specific configuration for development, staging, and production values.</w:t>
      </w:r>
    </w:p>
    <w:p>
      <w:pPr>
        <w:pStyle w:val="ListBullet"/>
      </w:pPr>
      <w:r>
        <w:t>Public browser-safe configuration must be separated from private server-side secrets.</w:t>
      </w:r>
    </w:p>
    <w:p>
      <w:pPr>
        <w:pStyle w:val="ListBullet"/>
      </w:pPr>
      <w:r>
        <w:t>Production credentials should be managed through the approved deployment platform or secret-management mechanism.</w:t>
      </w:r>
    </w:p>
    <w:p>
      <w:pPr>
        <w:pStyle w:val="ListBullet"/>
      </w:pPr>
      <w:r>
        <w:t>Document required environment variables and their purpose before deployment.</w:t>
      </w:r>
    </w:p>
    <w:p>
      <w:pPr>
        <w:pStyle w:val="Heading1"/>
      </w:pPr>
      <w:r>
        <w:t>9. Third-Party Integration Architecture</w:t>
      </w:r>
    </w:p>
    <w:p>
      <w:r>
        <w:t>Third-party features should be isolated so that removing or replacing a provider does not require rewriting unrelated page structures.</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Pr>
                <w:b/>
                <w:color w:val="FFFFFF"/>
                <w:sz w:val="18"/>
              </w:rPr>
              <w:t>Integration</w:t>
            </w:r>
          </w:p>
        </w:tc>
        <w:tc>
          <w:tcPr>
            <w:tcW w:type="dxa" w:w="5112"/>
            <w:shd w:fill="17324D"/>
          </w:tcPr>
          <w:p>
            <w:r>
              <w:rPr>
                <w:b/>
                <w:color w:val="FFFFFF"/>
                <w:sz w:val="18"/>
              </w:rPr>
              <w:t>Architectural rule</w:t>
            </w:r>
          </w:p>
        </w:tc>
      </w:tr>
      <w:tr>
        <w:tc>
          <w:tcPr>
            <w:tcW w:type="dxa" w:w="5112"/>
            <w:vAlign w:val="top"/>
          </w:tcPr>
          <w:p>
            <w:r>
              <w:rPr>
                <w:sz w:val="17"/>
              </w:rPr>
              <w:t>Analytics</w:t>
            </w:r>
          </w:p>
        </w:tc>
        <w:tc>
          <w:tcPr>
            <w:tcW w:type="dxa" w:w="5112"/>
            <w:vAlign w:val="top"/>
          </w:tcPr>
          <w:p>
            <w:r>
              <w:rPr>
                <w:sz w:val="17"/>
              </w:rPr>
              <w:t>Centralize tracking setup and event naming.</w:t>
            </w:r>
          </w:p>
        </w:tc>
      </w:tr>
      <w:tr>
        <w:tc>
          <w:tcPr>
            <w:tcW w:type="dxa" w:w="5112"/>
            <w:vAlign w:val="top"/>
          </w:tcPr>
          <w:p>
            <w:r>
              <w:rPr>
                <w:sz w:val="17"/>
              </w:rPr>
              <w:t>Maps</w:t>
            </w:r>
          </w:p>
        </w:tc>
        <w:tc>
          <w:tcPr>
            <w:tcW w:type="dxa" w:w="5112"/>
            <w:vAlign w:val="top"/>
          </w:tcPr>
          <w:p>
            <w:r>
              <w:rPr>
                <w:sz w:val="17"/>
              </w:rPr>
              <w:t>Wrap provider-specific behavior so page content remains provider-independent.</w:t>
            </w:r>
          </w:p>
        </w:tc>
      </w:tr>
      <w:tr>
        <w:tc>
          <w:tcPr>
            <w:tcW w:type="dxa" w:w="5112"/>
            <w:vAlign w:val="top"/>
          </w:tcPr>
          <w:p>
            <w:r>
              <w:rPr>
                <w:sz w:val="17"/>
              </w:rPr>
              <w:t>Forms / Email</w:t>
            </w:r>
          </w:p>
        </w:tc>
        <w:tc>
          <w:tcPr>
            <w:tcW w:type="dxa" w:w="5112"/>
            <w:vAlign w:val="top"/>
          </w:tcPr>
          <w:p>
            <w:r>
              <w:rPr>
                <w:sz w:val="17"/>
              </w:rPr>
              <w:t>Use a dedicated submission path with validation and error handling.</w:t>
            </w:r>
          </w:p>
        </w:tc>
      </w:tr>
      <w:tr>
        <w:tc>
          <w:tcPr>
            <w:tcW w:type="dxa" w:w="5112"/>
            <w:vAlign w:val="top"/>
          </w:tcPr>
          <w:p>
            <w:r>
              <w:rPr>
                <w:sz w:val="17"/>
              </w:rPr>
              <w:t>WhatsApp / Click-to-call</w:t>
            </w:r>
          </w:p>
        </w:tc>
        <w:tc>
          <w:tcPr>
            <w:tcW w:type="dxa" w:w="5112"/>
            <w:vAlign w:val="top"/>
          </w:tcPr>
          <w:p>
            <w:r>
              <w:rPr>
                <w:sz w:val="17"/>
              </w:rPr>
              <w:t>Keep as configurable contact actions.</w:t>
            </w:r>
          </w:p>
        </w:tc>
      </w:tr>
      <w:tr>
        <w:tc>
          <w:tcPr>
            <w:tcW w:type="dxa" w:w="5112"/>
            <w:vAlign w:val="top"/>
          </w:tcPr>
          <w:p>
            <w:r>
              <w:rPr>
                <w:sz w:val="17"/>
              </w:rPr>
              <w:t>Social</w:t>
            </w:r>
          </w:p>
        </w:tc>
        <w:tc>
          <w:tcPr>
            <w:tcW w:type="dxa" w:w="5112"/>
            <w:vAlign w:val="top"/>
          </w:tcPr>
          <w:p>
            <w:r>
              <w:rPr>
                <w:sz w:val="17"/>
              </w:rPr>
              <w:t>Use lightweight links/embeds unless an actual data integration is required.</w:t>
            </w:r>
          </w:p>
        </w:tc>
      </w:tr>
      <w:tr>
        <w:tc>
          <w:tcPr>
            <w:tcW w:type="dxa" w:w="5112"/>
            <w:vAlign w:val="top"/>
          </w:tcPr>
          <w:p>
            <w:r>
              <w:rPr>
                <w:sz w:val="17"/>
              </w:rPr>
              <w:t>Search</w:t>
            </w:r>
          </w:p>
        </w:tc>
        <w:tc>
          <w:tcPr>
            <w:tcW w:type="dxa" w:w="5112"/>
            <w:vAlign w:val="top"/>
          </w:tcPr>
          <w:p>
            <w:r>
              <w:rPr>
                <w:sz w:val="17"/>
              </w:rPr>
              <w:t>Keep indexing/query behavior separate from presentation when applicable.</w:t>
            </w:r>
          </w:p>
        </w:tc>
      </w:tr>
    </w:tbl>
    <w:p/>
    <w:p>
      <w:pPr>
        <w:pStyle w:val="Heading1"/>
      </w:pPr>
      <w:r>
        <w:t>10. SEO Architecture Requirements</w:t>
      </w:r>
    </w:p>
    <w:p>
      <w:pPr>
        <w:pStyle w:val="ListBullet"/>
      </w:pPr>
      <w:r>
        <w:t>Each indexable page should have a clear title, description, canonical URL, and structured heading hierarchy.</w:t>
      </w:r>
    </w:p>
    <w:p>
      <w:pPr>
        <w:pStyle w:val="ListBullet"/>
      </w:pPr>
      <w:r>
        <w:t>Dynamic content types should generate consistent metadata patterns with room for overrides.</w:t>
      </w:r>
    </w:p>
    <w:p>
      <w:pPr>
        <w:pStyle w:val="ListBullet"/>
      </w:pPr>
      <w:r>
        <w:t>Use semantic HTML and accessible landmarks.</w:t>
      </w:r>
    </w:p>
    <w:p>
      <w:pPr>
        <w:pStyle w:val="ListBullet"/>
      </w:pPr>
      <w:r>
        <w:t>Generate or maintain XML sitemap coverage appropriate to the final architecture.</w:t>
      </w:r>
    </w:p>
    <w:p>
      <w:pPr>
        <w:pStyle w:val="ListBullet"/>
      </w:pPr>
      <w:r>
        <w:t>Control indexing for utility, preview, or duplicate pages where necessary.</w:t>
      </w:r>
    </w:p>
    <w:p>
      <w:pPr>
        <w:pStyle w:val="ListBullet"/>
      </w:pPr>
      <w:r>
        <w:t>Structured data should be added only where valid for the content and maintained consistently.</w:t>
      </w:r>
    </w:p>
    <w:p>
      <w:pPr>
        <w:pStyle w:val="ListBullet"/>
      </w:pPr>
      <w:r>
        <w:t>Internal links should preserve the content relationships defined by the information architecture.</w:t>
      </w:r>
    </w:p>
    <w:p>
      <w:pPr>
        <w:pStyle w:val="Heading1"/>
      </w:pPr>
      <w:r>
        <w:t>11. Performance Architecture Requirements</w:t>
      </w:r>
    </w:p>
    <w:p>
      <w:r>
        <w:t>Phase 8 defines performance goals; the architecture must make those goals achievable.</w:t>
      </w:r>
    </w:p>
    <w:p>
      <w:pPr>
        <w:pStyle w:val="ListBullet"/>
      </w:pPr>
      <w:r>
        <w:t>Use optimized responsive images and avoid shipping unnecessary media.</w:t>
      </w:r>
    </w:p>
    <w:p>
      <w:pPr>
        <w:pStyle w:val="ListBullet"/>
      </w:pPr>
      <w:r>
        <w:t>Load heavy media or non-critical integrations only when needed.</w:t>
      </w:r>
    </w:p>
    <w:p>
      <w:pPr>
        <w:pStyle w:val="ListBullet"/>
      </w:pPr>
      <w:r>
        <w:t>Keep the initial page payload proportionate to the page purpose.</w:t>
      </w:r>
    </w:p>
    <w:p>
      <w:pPr>
        <w:pStyle w:val="ListBullet"/>
      </w:pPr>
      <w:r>
        <w:t>Avoid layout shifts caused by images, fonts, or asynchronous content.</w:t>
      </w:r>
    </w:p>
    <w:p>
      <w:pPr>
        <w:pStyle w:val="ListBullet"/>
      </w:pPr>
      <w:r>
        <w:t>Keep JavaScript dependencies proportional to actual requirements.</w:t>
      </w:r>
    </w:p>
    <w:p>
      <w:pPr>
        <w:pStyle w:val="ListBullet"/>
      </w:pPr>
      <w:r>
        <w:t>Use caching and asset delivery strategies appropriate to the hosting platform.</w:t>
      </w:r>
    </w:p>
    <w:p>
      <w:pPr>
        <w:pStyle w:val="ListBullet"/>
      </w:pPr>
      <w:r>
        <w:t>Ensure template-rich visual effects do not force unnecessary client-side work.</w:t>
      </w:r>
    </w:p>
    <w:p>
      <w:pPr>
        <w:pStyle w:val="Heading1"/>
      </w:pPr>
      <w:r>
        <w:t>12. Security Architecture Requirements</w:t>
      </w:r>
    </w:p>
    <w:p>
      <w:pPr>
        <w:pStyle w:val="ListBullet"/>
      </w:pPr>
      <w:r>
        <w:t>Follow the controls established in Phase 9 Security.</w:t>
      </w:r>
    </w:p>
    <w:p>
      <w:pPr>
        <w:pStyle w:val="ListBullet"/>
      </w:pPr>
      <w:r>
        <w:t>Validate and sanitize user-submitted data on the server or trusted processing layer where a backend is involved.</w:t>
      </w:r>
    </w:p>
    <w:p>
      <w:pPr>
        <w:pStyle w:val="ListBullet"/>
      </w:pPr>
      <w:r>
        <w:t>Use secure transport in production.</w:t>
      </w:r>
    </w:p>
    <w:p>
      <w:pPr>
        <w:pStyle w:val="ListBullet"/>
      </w:pPr>
      <w:r>
        <w:t>Apply least-privilege access to APIs, hosting, analytics, and third-party services.</w:t>
      </w:r>
    </w:p>
    <w:p>
      <w:pPr>
        <w:pStyle w:val="ListBullet"/>
      </w:pPr>
      <w:r>
        <w:t>Keep dependencies maintained and review security advisories.</w:t>
      </w:r>
    </w:p>
    <w:p>
      <w:pPr>
        <w:pStyle w:val="ListBullet"/>
      </w:pPr>
      <w:r>
        <w:t>Avoid exposing administrative or private endpoints to the public interface.</w:t>
      </w:r>
    </w:p>
    <w:p>
      <w:pPr>
        <w:pStyle w:val="Heading1"/>
      </w:pPr>
      <w:r>
        <w:t>13. Accessibility Architecture</w:t>
      </w:r>
    </w:p>
    <w:p>
      <w:pPr>
        <w:pStyle w:val="ListBullet"/>
      </w:pPr>
      <w:r>
        <w:t>Use semantic HTML as the default.</w:t>
      </w:r>
    </w:p>
    <w:p>
      <w:pPr>
        <w:pStyle w:val="ListBullet"/>
      </w:pPr>
      <w:r>
        <w:t>Keyboard interaction must remain available for interactive functionality.</w:t>
      </w:r>
    </w:p>
    <w:p>
      <w:pPr>
        <w:pStyle w:val="ListBullet"/>
      </w:pPr>
      <w:r>
        <w:t>Focus management should be considered for menus, dialogs, forms, and dynamic content.</w:t>
      </w:r>
    </w:p>
    <w:p>
      <w:pPr>
        <w:pStyle w:val="ListBullet"/>
      </w:pPr>
      <w:r>
        <w:t>Component states should not depend on color alone.</w:t>
      </w:r>
    </w:p>
    <w:p>
      <w:pPr>
        <w:pStyle w:val="ListBullet"/>
      </w:pPr>
      <w:r>
        <w:t>Motion preferences should be respected.</w:t>
      </w:r>
    </w:p>
    <w:p>
      <w:pPr>
        <w:pStyle w:val="ListBullet"/>
      </w:pPr>
      <w:r>
        <w:t>ARIA should supplement semantic HTML rather than replace it.</w:t>
      </w:r>
    </w:p>
    <w:p>
      <w:pPr>
        <w:pStyle w:val="Heading1"/>
      </w:pPr>
      <w:r>
        <w:t>14. Error &amp; Fallback Architecture</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Pr>
                <w:b/>
                <w:color w:val="FFFFFF"/>
                <w:sz w:val="18"/>
              </w:rPr>
              <w:t>Case</w:t>
            </w:r>
          </w:p>
        </w:tc>
        <w:tc>
          <w:tcPr>
            <w:tcW w:type="dxa" w:w="5112"/>
            <w:shd w:fill="17324D"/>
          </w:tcPr>
          <w:p>
            <w:r>
              <w:rPr>
                <w:b/>
                <w:color w:val="FFFFFF"/>
                <w:sz w:val="18"/>
              </w:rPr>
              <w:t>Required behavior</w:t>
            </w:r>
          </w:p>
        </w:tc>
      </w:tr>
      <w:tr>
        <w:tc>
          <w:tcPr>
            <w:tcW w:type="dxa" w:w="5112"/>
            <w:vAlign w:val="top"/>
          </w:tcPr>
          <w:p>
            <w:r>
              <w:rPr>
                <w:sz w:val="17"/>
              </w:rPr>
              <w:t>404</w:t>
            </w:r>
          </w:p>
        </w:tc>
        <w:tc>
          <w:tcPr>
            <w:tcW w:type="dxa" w:w="5112"/>
            <w:vAlign w:val="top"/>
          </w:tcPr>
          <w:p>
            <w:r>
              <w:rPr>
                <w:sz w:val="17"/>
              </w:rPr>
              <w:t>Clear explanation, useful navigation, and return path.</w:t>
            </w:r>
          </w:p>
        </w:tc>
      </w:tr>
      <w:tr>
        <w:tc>
          <w:tcPr>
            <w:tcW w:type="dxa" w:w="5112"/>
            <w:vAlign w:val="top"/>
          </w:tcPr>
          <w:p>
            <w:r>
              <w:rPr>
                <w:sz w:val="17"/>
              </w:rPr>
              <w:t>Form failure</w:t>
            </w:r>
          </w:p>
        </w:tc>
        <w:tc>
          <w:tcPr>
            <w:tcW w:type="dxa" w:w="5112"/>
            <w:vAlign w:val="top"/>
          </w:tcPr>
          <w:p>
            <w:r>
              <w:rPr>
                <w:sz w:val="17"/>
              </w:rPr>
              <w:t>Preserve user input where safe and provide actionable feedback.</w:t>
            </w:r>
          </w:p>
        </w:tc>
      </w:tr>
      <w:tr>
        <w:tc>
          <w:tcPr>
            <w:tcW w:type="dxa" w:w="5112"/>
            <w:vAlign w:val="top"/>
          </w:tcPr>
          <w:p>
            <w:r>
              <w:rPr>
                <w:sz w:val="17"/>
              </w:rPr>
              <w:t>Third-party failure</w:t>
            </w:r>
          </w:p>
        </w:tc>
        <w:tc>
          <w:tcPr>
            <w:tcW w:type="dxa" w:w="5112"/>
            <w:vAlign w:val="top"/>
          </w:tcPr>
          <w:p>
            <w:r>
              <w:rPr>
                <w:sz w:val="17"/>
              </w:rPr>
              <w:t>Page remains usable; non-critical integration can fail gracefully.</w:t>
            </w:r>
          </w:p>
        </w:tc>
      </w:tr>
      <w:tr>
        <w:tc>
          <w:tcPr>
            <w:tcW w:type="dxa" w:w="5112"/>
            <w:vAlign w:val="top"/>
          </w:tcPr>
          <w:p>
            <w:r>
              <w:rPr>
                <w:sz w:val="17"/>
              </w:rPr>
              <w:t>Missing media</w:t>
            </w:r>
          </w:p>
        </w:tc>
        <w:tc>
          <w:tcPr>
            <w:tcW w:type="dxa" w:w="5112"/>
            <w:vAlign w:val="top"/>
          </w:tcPr>
          <w:p>
            <w:r>
              <w:rPr>
                <w:sz w:val="17"/>
              </w:rPr>
              <w:t>Use stable placeholders/fallbacks without layout collapse.</w:t>
            </w:r>
          </w:p>
        </w:tc>
      </w:tr>
      <w:tr>
        <w:tc>
          <w:tcPr>
            <w:tcW w:type="dxa" w:w="5112"/>
            <w:vAlign w:val="top"/>
          </w:tcPr>
          <w:p>
            <w:r>
              <w:rPr>
                <w:sz w:val="17"/>
              </w:rPr>
              <w:t>Empty collection</w:t>
            </w:r>
          </w:p>
        </w:tc>
        <w:tc>
          <w:tcPr>
            <w:tcW w:type="dxa" w:w="5112"/>
            <w:vAlign w:val="top"/>
          </w:tcPr>
          <w:p>
            <w:r>
              <w:rPr>
                <w:sz w:val="17"/>
              </w:rPr>
              <w:t>Explain the state and provide a relevant next action.</w:t>
            </w:r>
          </w:p>
        </w:tc>
      </w:tr>
      <w:tr>
        <w:tc>
          <w:tcPr>
            <w:tcW w:type="dxa" w:w="5112"/>
            <w:vAlign w:val="top"/>
          </w:tcPr>
          <w:p>
            <w:r>
              <w:rPr>
                <w:sz w:val="17"/>
              </w:rPr>
              <w:t>Slow content</w:t>
            </w:r>
          </w:p>
        </w:tc>
        <w:tc>
          <w:tcPr>
            <w:tcW w:type="dxa" w:w="5112"/>
            <w:vAlign w:val="top"/>
          </w:tcPr>
          <w:p>
            <w:r>
              <w:rPr>
                <w:sz w:val="17"/>
              </w:rPr>
              <w:t>Provide appropriate loading feedback without unnecessary blocking.</w:t>
            </w:r>
          </w:p>
        </w:tc>
      </w:tr>
    </w:tbl>
    <w:p/>
    <w:p>
      <w:pPr>
        <w:pStyle w:val="Heading1"/>
      </w:pPr>
      <w:r>
        <w:t>15. Maintainability Standards</w:t>
      </w:r>
    </w:p>
    <w:p>
      <w:pPr>
        <w:pStyle w:val="ListBullet"/>
      </w:pPr>
      <w:r>
        <w:t>Use clear naming conventions for pages, components, content types, and configuration.</w:t>
      </w:r>
    </w:p>
    <w:p>
      <w:pPr>
        <w:pStyle w:val="ListBullet"/>
      </w:pPr>
      <w:r>
        <w:t>Avoid duplicated business/content logic across templates.</w:t>
      </w:r>
    </w:p>
    <w:p>
      <w:pPr>
        <w:pStyle w:val="ListBullet"/>
      </w:pPr>
      <w:r>
        <w:t>Keep one source of truth for repeated configuration.</w:t>
      </w:r>
    </w:p>
    <w:p>
      <w:pPr>
        <w:pStyle w:val="ListBullet"/>
      </w:pPr>
      <w:r>
        <w:t>Document project-specific exceptions.</w:t>
      </w:r>
    </w:p>
    <w:p>
      <w:pPr>
        <w:pStyle w:val="ListBullet"/>
      </w:pPr>
      <w:r>
        <w:t>Prefer small, composable modules over large page files.</w:t>
      </w:r>
    </w:p>
    <w:p>
      <w:pPr>
        <w:pStyle w:val="ListBullet"/>
      </w:pPr>
      <w:r>
        <w:t>Keep dependencies current within the supported project stack.</w:t>
      </w:r>
    </w:p>
    <w:p>
      <w:pPr>
        <w:pStyle w:val="ListBullet"/>
      </w:pPr>
      <w:r>
        <w:t>Use code formatting, linting, type checking, and automated checks appropriate to the stack.</w:t>
      </w:r>
    </w:p>
    <w:p>
      <w:pPr>
        <w:pStyle w:val="Heading1"/>
      </w:pPr>
      <w:r>
        <w:t>16. Architecture Boundaries</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Pr>
                <w:b/>
                <w:color w:val="FFFFFF"/>
                <w:sz w:val="18"/>
              </w:rPr>
              <w:t>Belongs in this package architecture</w:t>
            </w:r>
          </w:p>
        </w:tc>
        <w:tc>
          <w:tcPr>
            <w:tcW w:type="dxa" w:w="5112"/>
            <w:shd w:fill="17324D"/>
          </w:tcPr>
          <w:p>
            <w:r>
              <w:rPr>
                <w:b/>
                <w:color w:val="FFFFFF"/>
                <w:sz w:val="18"/>
              </w:rPr>
              <w:t>Out of scope / Custom Web Application</w:t>
            </w:r>
          </w:p>
        </w:tc>
      </w:tr>
      <w:tr>
        <w:tc>
          <w:tcPr>
            <w:tcW w:type="dxa" w:w="5112"/>
            <w:vAlign w:val="top"/>
          </w:tcPr>
          <w:p>
            <w:r>
              <w:rPr>
                <w:sz w:val="17"/>
              </w:rPr>
              <w:t>Corporate content and page rendering</w:t>
            </w:r>
          </w:p>
        </w:tc>
        <w:tc>
          <w:tcPr>
            <w:tcW w:type="dxa" w:w="5112"/>
            <w:vAlign w:val="top"/>
          </w:tcPr>
          <w:p>
            <w:r>
              <w:rPr>
                <w:sz w:val="17"/>
              </w:rPr>
              <w:t>ERP/CRM logic</w:t>
            </w:r>
          </w:p>
        </w:tc>
      </w:tr>
      <w:tr>
        <w:tc>
          <w:tcPr>
            <w:tcW w:type="dxa" w:w="5112"/>
            <w:vAlign w:val="top"/>
          </w:tcPr>
          <w:p>
            <w:r>
              <w:rPr>
                <w:sz w:val="17"/>
              </w:rPr>
              <w:t>Marketing forms and lead routing</w:t>
            </w:r>
          </w:p>
        </w:tc>
        <w:tc>
          <w:tcPr>
            <w:tcW w:type="dxa" w:w="5112"/>
            <w:vAlign w:val="top"/>
          </w:tcPr>
          <w:p>
            <w:r>
              <w:rPr>
                <w:sz w:val="17"/>
              </w:rPr>
              <w:t>Complex business workflows</w:t>
            </w:r>
          </w:p>
        </w:tc>
      </w:tr>
      <w:tr>
        <w:tc>
          <w:tcPr>
            <w:tcW w:type="dxa" w:w="5112"/>
            <w:vAlign w:val="top"/>
          </w:tcPr>
          <w:p>
            <w:r>
              <w:rPr>
                <w:sz w:val="17"/>
              </w:rPr>
              <w:t>Resource/news/project presentation</w:t>
            </w:r>
          </w:p>
        </w:tc>
        <w:tc>
          <w:tcPr>
            <w:tcW w:type="dxa" w:w="5112"/>
            <w:vAlign w:val="top"/>
          </w:tcPr>
          <w:p>
            <w:r>
              <w:rPr>
                <w:sz w:val="17"/>
              </w:rPr>
              <w:t>Inventory management</w:t>
            </w:r>
          </w:p>
        </w:tc>
      </w:tr>
      <w:tr>
        <w:tc>
          <w:tcPr>
            <w:tcW w:type="dxa" w:w="5112"/>
            <w:vAlign w:val="top"/>
          </w:tcPr>
          <w:p>
            <w:r>
              <w:rPr>
                <w:sz w:val="17"/>
              </w:rPr>
              <w:t>Analytics and third-party marketing integrations</w:t>
            </w:r>
          </w:p>
        </w:tc>
        <w:tc>
          <w:tcPr>
            <w:tcW w:type="dxa" w:w="5112"/>
            <w:vAlign w:val="top"/>
          </w:tcPr>
          <w:p>
            <w:r>
              <w:rPr>
                <w:sz w:val="17"/>
              </w:rPr>
              <w:t>Authenticated customer portals</w:t>
            </w:r>
          </w:p>
        </w:tc>
      </w:tr>
      <w:tr>
        <w:tc>
          <w:tcPr>
            <w:tcW w:type="dxa" w:w="5112"/>
            <w:vAlign w:val="top"/>
          </w:tcPr>
          <w:p>
            <w:r>
              <w:rPr>
                <w:sz w:val="17"/>
              </w:rPr>
              <w:t>Standard search/filtering for site content</w:t>
            </w:r>
          </w:p>
        </w:tc>
        <w:tc>
          <w:tcPr>
            <w:tcW w:type="dxa" w:w="5112"/>
            <w:vAlign w:val="top"/>
          </w:tcPr>
          <w:p>
            <w:r>
              <w:rPr>
                <w:sz w:val="17"/>
              </w:rPr>
              <w:t>Advanced dashboards</w:t>
            </w:r>
          </w:p>
        </w:tc>
      </w:tr>
      <w:tr>
        <w:tc>
          <w:tcPr>
            <w:tcW w:type="dxa" w:w="5112"/>
            <w:vAlign w:val="top"/>
          </w:tcPr>
          <w:p>
            <w:r>
              <w:rPr>
                <w:sz w:val="17"/>
              </w:rPr>
              <w:t>Simple CMS/content source integration if separately agreed</w:t>
            </w:r>
          </w:p>
        </w:tc>
        <w:tc>
          <w:tcPr>
            <w:tcW w:type="dxa" w:w="5112"/>
            <w:vAlign w:val="top"/>
          </w:tcPr>
          <w:p>
            <w:r>
              <w:rPr>
                <w:sz w:val="17"/>
              </w:rPr>
              <w:t>Membership/account systems</w:t>
            </w:r>
          </w:p>
        </w:tc>
      </w:tr>
    </w:tbl>
    <w:p/>
    <w:p>
      <w:pPr>
        <w:pStyle w:val="Heading1"/>
      </w:pPr>
      <w:r>
        <w:t>17. Template Implementation Guidance</w:t>
      </w:r>
    </w:p>
    <w:tbl>
      <w:tblPr>
        <w:tblStyle w:val="TableGrid"/>
        <w:tblW w:type="auto" w:w="0"/>
        <w:jc w:val="center"/>
        <w:tblLook w:firstColumn="1" w:firstRow="1" w:lastColumn="0" w:lastRow="0" w:noHBand="0" w:noVBand="1" w:val="04A0"/>
      </w:tblPr>
      <w:tblGrid>
        <w:gridCol w:w="5112"/>
        <w:gridCol w:w="5112"/>
      </w:tblGrid>
      <w:tr>
        <w:tc>
          <w:tcPr>
            <w:tcW w:type="dxa" w:w="5112"/>
            <w:shd w:fill="17324D"/>
          </w:tcPr>
          <w:p>
            <w:r>
              <w:rPr>
                <w:b/>
                <w:color w:val="FFFFFF"/>
                <w:sz w:val="18"/>
              </w:rPr>
              <w:t>Template</w:t>
            </w:r>
          </w:p>
        </w:tc>
        <w:tc>
          <w:tcPr>
            <w:tcW w:type="dxa" w:w="5112"/>
            <w:shd w:fill="17324D"/>
          </w:tcPr>
          <w:p>
            <w:r>
              <w:rPr>
                <w:b/>
                <w:color w:val="FFFFFF"/>
                <w:sz w:val="18"/>
              </w:rPr>
              <w:t>Architecture emphasis</w:t>
            </w:r>
          </w:p>
        </w:tc>
      </w:tr>
      <w:tr>
        <w:tc>
          <w:tcPr>
            <w:tcW w:type="dxa" w:w="5112"/>
            <w:vAlign w:val="top"/>
          </w:tcPr>
          <w:p>
            <w:r>
              <w:rPr>
                <w:sz w:val="17"/>
              </w:rPr>
              <w:t>Corporate Authority</w:t>
            </w:r>
          </w:p>
        </w:tc>
        <w:tc>
          <w:tcPr>
            <w:tcW w:type="dxa" w:w="5112"/>
            <w:vAlign w:val="top"/>
          </w:tcPr>
          <w:p>
            <w:r>
              <w:rPr>
                <w:sz w:val="17"/>
              </w:rPr>
              <w:t>Strong reusable corporate sections, structured content collections, proof/leadership modules, business-unit scalability.</w:t>
            </w:r>
          </w:p>
        </w:tc>
      </w:tr>
      <w:tr>
        <w:tc>
          <w:tcPr>
            <w:tcW w:type="dxa" w:w="5112"/>
            <w:vAlign w:val="top"/>
          </w:tcPr>
          <w:p>
            <w:r>
              <w:rPr>
                <w:sz w:val="17"/>
              </w:rPr>
              <w:t>Editorial Expertise</w:t>
            </w:r>
          </w:p>
        </w:tc>
        <w:tc>
          <w:tcPr>
            <w:tcW w:type="dxa" w:w="5112"/>
            <w:vAlign w:val="top"/>
          </w:tcPr>
          <w:p>
            <w:r>
              <w:rPr>
                <w:sz w:val="17"/>
              </w:rPr>
              <w:t>Content-rich collections, editorial detail pages, resources, publications, search/discovery, long-form rendering.</w:t>
            </w:r>
          </w:p>
        </w:tc>
      </w:tr>
      <w:tr>
        <w:tc>
          <w:tcPr>
            <w:tcW w:type="dxa" w:w="5112"/>
            <w:vAlign w:val="top"/>
          </w:tcPr>
          <w:p>
            <w:r>
              <w:rPr>
                <w:sz w:val="17"/>
              </w:rPr>
              <w:t>Premium Experience</w:t>
            </w:r>
          </w:p>
        </w:tc>
        <w:tc>
          <w:tcPr>
            <w:tcW w:type="dxa" w:w="5112"/>
            <w:vAlign w:val="top"/>
          </w:tcPr>
          <w:p>
            <w:r>
              <w:rPr>
                <w:sz w:val="17"/>
              </w:rPr>
              <w:t>Media optimization, progressive loading, carefully isolated motion, image-heavy layouts, graceful fallbacks.</w:t>
            </w:r>
          </w:p>
        </w:tc>
      </w:tr>
    </w:tbl>
    <w:p/>
    <w:p>
      <w:pPr>
        <w:pStyle w:val="Heading1"/>
      </w:pPr>
      <w:r>
        <w:t>18. Technical Handover Requirements</w:t>
      </w:r>
    </w:p>
    <w:p>
      <w:pPr>
        <w:pStyle w:val="ListNumber"/>
      </w:pPr>
      <w:r>
        <w:t>Provide a clear repository structure and setup instructions.</w:t>
      </w:r>
    </w:p>
    <w:p>
      <w:pPr>
        <w:pStyle w:val="ListNumber"/>
      </w:pPr>
      <w:r>
        <w:t>Provide required environment variables and configuration documentation without exposing secrets.</w:t>
      </w:r>
    </w:p>
    <w:p>
      <w:pPr>
        <w:pStyle w:val="ListNumber"/>
      </w:pPr>
      <w:r>
        <w:t>Document deployment prerequisites and supported runtime versions.</w:t>
      </w:r>
    </w:p>
    <w:p>
      <w:pPr>
        <w:pStyle w:val="ListNumber"/>
      </w:pPr>
      <w:r>
        <w:t>Document third-party integrations and their credentials/ownership boundaries.</w:t>
      </w:r>
    </w:p>
    <w:p>
      <w:pPr>
        <w:pStyle w:val="ListNumber"/>
      </w:pPr>
      <w:r>
        <w:t>Document content sources and any manual update procedures.</w:t>
      </w:r>
    </w:p>
    <w:p>
      <w:pPr>
        <w:pStyle w:val="ListNumber"/>
      </w:pPr>
      <w:r>
        <w:t>Provide a short architecture overview for future maintenance.</w:t>
      </w:r>
    </w:p>
    <w:p>
      <w:pPr>
        <w:pStyle w:val="Heading1"/>
      </w:pPr>
      <w:r>
        <w:t>19. Phase Completion Criteria</w:t>
      </w:r>
    </w:p>
    <w:p>
      <w:pPr>
        <w:pStyle w:val="ListBullet"/>
      </w:pPr>
      <w:r>
        <w:t>Application structure and separation of concerns are defined.</w:t>
      </w:r>
    </w:p>
    <w:p>
      <w:pPr>
        <w:pStyle w:val="ListBullet"/>
      </w:pPr>
      <w:r>
        <w:t>Routing and page architecture follow the approved IA.</w:t>
      </w:r>
    </w:p>
    <w:p>
      <w:pPr>
        <w:pStyle w:val="ListBullet"/>
      </w:pPr>
      <w:r>
        <w:t>Content/configuration boundaries are defined.</w:t>
      </w:r>
    </w:p>
    <w:p>
      <w:pPr>
        <w:pStyle w:val="ListBullet"/>
      </w:pPr>
      <w:r>
        <w:t>Template and component reuse rules are defined.</w:t>
      </w:r>
    </w:p>
    <w:p>
      <w:pPr>
        <w:pStyle w:val="ListBullet"/>
      </w:pPr>
      <w:r>
        <w:t>Integration, environment, security, SEO, accessibility, and performance requirements are reflected in architecture.</w:t>
      </w:r>
    </w:p>
    <w:p>
      <w:pPr>
        <w:pStyle w:val="ListBullet"/>
      </w:pPr>
      <w:r>
        <w:t>Error/fallback behavior is accounted for.</w:t>
      </w:r>
    </w:p>
    <w:p>
      <w:pPr>
        <w:pStyle w:val="ListBullet"/>
      </w:pPr>
      <w:r>
        <w:t>Maintainability and handover requirements are documented.</w:t>
      </w:r>
    </w:p>
    <w:p>
      <w:pPr>
        <w:pStyle w:val="ListBullet"/>
      </w:pPr>
      <w:r>
        <w:t>The implementation owner can choose the exact framework and hosting details without violating the package standards.</w:t>
      </w:r>
    </w:p>
    <w:p>
      <w:pPr>
        <w:pStyle w:val="Heading1"/>
      </w:pPr>
      <w:r>
        <w:t>20. Next Phase</w:t>
      </w:r>
    </w:p>
    <w:p>
      <w:r>
        <w:t>The next phase is Phase 11 — Content &amp; Assets. This will define the content and asset requirements needed to populate the approved page structures, including copy inputs, imagery, documents, brand assets, and preparation standards. Technical deployment and infrastructure remain with the implementation owner.</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Professional Presence — Phase 10 Architecture / Technical Standards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C4A6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