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2"/>
        </w:rPr>
        <w:t>Package 3 — Professional Presence</w:t>
      </w:r>
    </w:p>
    <w:p>
      <w:pPr>
        <w:jc w:val="center"/>
      </w:pPr>
      <w:r>
        <w:rPr>
          <w:b/>
          <w:color w:val="A86B32"/>
          <w:sz w:val="38"/>
        </w:rPr>
        <w:t>Phase 11 — Content &amp; Assets</w:t>
      </w:r>
    </w:p>
    <w:p>
      <w:pPr>
        <w:jc w:val="center"/>
      </w:pPr>
      <w:r>
        <w:rPr>
          <w:i/>
        </w:rPr>
        <w:t>Version 1.0</w:t>
      </w:r>
    </w:p>
    <w:p>
      <w:pPr>
        <w:jc w:val="center"/>
      </w:pPr>
      <w:r>
        <w:rPr>
          <w:sz w:val="17"/>
        </w:rPr>
        <w:t>Workflow: Package Definition → IA &amp; Routing → Design System → Page Templates → Component System → Content Model → Marketing / SEO / Analytics → Performance → Security → Architecture → Content &amp; Assets</w:t>
      </w:r>
    </w:p>
    <w:p>
      <w:pPr>
        <w:pStyle w:val="Heading1"/>
      </w:pPr>
      <w:r>
        <w:t>1. Purpose</w:t>
      </w:r>
    </w:p>
    <w:p>
      <w:r>
        <w:t>This phase defines how project content and media assets are collected, prepared, validated, organized, and handed into the website build. It turns the Content Model into a practical content-production workflow without redefining the content structures already established in Phase 6.</w:t>
      </w:r>
    </w:p>
    <w:p>
      <w:r>
        <w:t>The goal is to prevent late content changes, missing assets, inconsistent materials, licensing problems, and unclear ownership from disrupting the design and implementation process.</w:t>
      </w:r>
    </w:p>
    <w:p>
      <w:pPr>
        <w:pStyle w:val="Heading1"/>
      </w:pPr>
      <w:r>
        <w:t>2. Content &amp; Asset Principles</w:t>
      </w:r>
    </w:p>
    <w:p>
      <w:pPr>
        <w:pStyle w:val="ListBullet"/>
      </w:pPr>
      <w:r>
        <w:t>Content is part of the product, not filler added after design is finished.</w:t>
      </w:r>
    </w:p>
    <w:p>
      <w:pPr>
        <w:pStyle w:val="ListBullet"/>
      </w:pPr>
      <w:r>
        <w:t>Use approved, accurate, current, and legally usable content.</w:t>
      </w:r>
    </w:p>
    <w:p>
      <w:pPr>
        <w:pStyle w:val="ListBullet"/>
      </w:pPr>
      <w:r>
        <w:t>Content should be prepared for the intended page and audience rather than copied from unrelated documents.</w:t>
      </w:r>
    </w:p>
    <w:p>
      <w:pPr>
        <w:pStyle w:val="ListBullet"/>
      </w:pPr>
      <w:r>
        <w:t>Visual assets should support the approved template direction and brand character.</w:t>
      </w:r>
    </w:p>
    <w:p>
      <w:pPr>
        <w:pStyle w:val="ListBullet"/>
      </w:pPr>
      <w:r>
        <w:t>Assets must be organized consistently so the implementation team can find and replace them easily.</w:t>
      </w:r>
    </w:p>
    <w:p>
      <w:pPr>
        <w:pStyle w:val="ListBullet"/>
      </w:pPr>
      <w:r>
        <w:t>When content is not ready, use clearly labeled placeholders rather than inventing factual client claims.</w:t>
      </w:r>
    </w:p>
    <w:p>
      <w:pPr>
        <w:pStyle w:val="Heading1"/>
      </w:pPr>
      <w:r>
        <w:t>3. Responsibility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Area</w:t>
            </w:r>
          </w:p>
        </w:tc>
        <w:tc>
          <w:tcPr>
            <w:tcW w:type="dxa" w:w="3408"/>
            <w:shd w:fill="17324D"/>
          </w:tcPr>
          <w:p>
            <w:r/>
            <w:r>
              <w:rPr>
                <w:b/>
                <w:color w:val="FFFFFF"/>
                <w:sz w:val="18"/>
              </w:rPr>
              <w:t>Primary responsibility</w:t>
            </w:r>
          </w:p>
        </w:tc>
        <w:tc>
          <w:tcPr>
            <w:tcW w:type="dxa" w:w="3408"/>
            <w:shd w:fill="17324D"/>
          </w:tcPr>
          <w:p>
            <w:r/>
            <w:r>
              <w:rPr>
                <w:b/>
                <w:color w:val="FFFFFF"/>
                <w:sz w:val="18"/>
              </w:rPr>
              <w:t>Notes</w:t>
            </w:r>
          </w:p>
        </w:tc>
      </w:tr>
      <w:tr>
        <w:tc>
          <w:tcPr>
            <w:tcW w:type="dxa" w:w="3408"/>
            <w:vAlign w:val="top"/>
          </w:tcPr>
          <w:p>
            <w:r>
              <w:rPr>
                <w:sz w:val="17"/>
              </w:rPr>
              <w:t>Brand assets</w:t>
            </w:r>
          </w:p>
        </w:tc>
        <w:tc>
          <w:tcPr>
            <w:tcW w:type="dxa" w:w="3408"/>
            <w:vAlign w:val="top"/>
          </w:tcPr>
          <w:p>
            <w:r>
              <w:rPr>
                <w:sz w:val="17"/>
              </w:rPr>
              <w:t>Client</w:t>
            </w:r>
          </w:p>
        </w:tc>
        <w:tc>
          <w:tcPr>
            <w:tcW w:type="dxa" w:w="3408"/>
            <w:vAlign w:val="top"/>
          </w:tcPr>
          <w:p>
            <w:r>
              <w:rPr>
                <w:sz w:val="17"/>
              </w:rPr>
              <w:t>Logo, official colors, brand guidelines, existing marks and approved identity materials.</w:t>
            </w:r>
          </w:p>
        </w:tc>
      </w:tr>
      <w:tr>
        <w:tc>
          <w:tcPr>
            <w:tcW w:type="dxa" w:w="3408"/>
            <w:vAlign w:val="top"/>
          </w:tcPr>
          <w:p>
            <w:r>
              <w:rPr>
                <w:sz w:val="17"/>
              </w:rPr>
              <w:t>Corporate information</w:t>
            </w:r>
          </w:p>
        </w:tc>
        <w:tc>
          <w:tcPr>
            <w:tcW w:type="dxa" w:w="3408"/>
            <w:vAlign w:val="top"/>
          </w:tcPr>
          <w:p>
            <w:r>
              <w:rPr>
                <w:sz w:val="17"/>
              </w:rPr>
              <w:t>Client</w:t>
            </w:r>
          </w:p>
        </w:tc>
        <w:tc>
          <w:tcPr>
            <w:tcW w:type="dxa" w:w="3408"/>
            <w:vAlign w:val="top"/>
          </w:tcPr>
          <w:p>
            <w:r>
              <w:rPr>
                <w:sz w:val="17"/>
              </w:rPr>
              <w:t>Company facts, history, mission, values, business information.</w:t>
            </w:r>
          </w:p>
        </w:tc>
      </w:tr>
      <w:tr>
        <w:tc>
          <w:tcPr>
            <w:tcW w:type="dxa" w:w="3408"/>
            <w:vAlign w:val="top"/>
          </w:tcPr>
          <w:p>
            <w:r>
              <w:rPr>
                <w:sz w:val="17"/>
              </w:rPr>
              <w:t>Executive information</w:t>
            </w:r>
          </w:p>
        </w:tc>
        <w:tc>
          <w:tcPr>
            <w:tcW w:type="dxa" w:w="3408"/>
            <w:vAlign w:val="top"/>
          </w:tcPr>
          <w:p>
            <w:r>
              <w:rPr>
                <w:sz w:val="17"/>
              </w:rPr>
              <w:t>Client</w:t>
            </w:r>
          </w:p>
        </w:tc>
        <w:tc>
          <w:tcPr>
            <w:tcW w:type="dxa" w:w="3408"/>
            <w:vAlign w:val="top"/>
          </w:tcPr>
          <w:p>
            <w:r>
              <w:rPr>
                <w:sz w:val="17"/>
              </w:rPr>
              <w:t>Names, roles, biographies, portraits, approvals.</w:t>
            </w:r>
          </w:p>
        </w:tc>
      </w:tr>
      <w:tr>
        <w:tc>
          <w:tcPr>
            <w:tcW w:type="dxa" w:w="3408"/>
            <w:vAlign w:val="top"/>
          </w:tcPr>
          <w:p>
            <w:r>
              <w:rPr>
                <w:sz w:val="17"/>
              </w:rPr>
              <w:t>Product / service information</w:t>
            </w:r>
          </w:p>
        </w:tc>
        <w:tc>
          <w:tcPr>
            <w:tcW w:type="dxa" w:w="3408"/>
            <w:vAlign w:val="top"/>
          </w:tcPr>
          <w:p>
            <w:r>
              <w:rPr>
                <w:sz w:val="17"/>
              </w:rPr>
              <w:t>Client</w:t>
            </w:r>
          </w:p>
        </w:tc>
        <w:tc>
          <w:tcPr>
            <w:tcW w:type="dxa" w:w="3408"/>
            <w:vAlign w:val="top"/>
          </w:tcPr>
          <w:p>
            <w:r>
              <w:rPr>
                <w:sz w:val="17"/>
              </w:rPr>
              <w:t>Descriptions, specifications, industries, supporting documentation.</w:t>
            </w:r>
          </w:p>
        </w:tc>
      </w:tr>
      <w:tr>
        <w:tc>
          <w:tcPr>
            <w:tcW w:type="dxa" w:w="3408"/>
            <w:vAlign w:val="top"/>
          </w:tcPr>
          <w:p>
            <w:r>
              <w:rPr>
                <w:sz w:val="17"/>
              </w:rPr>
              <w:t>Projects / case studies</w:t>
            </w:r>
          </w:p>
        </w:tc>
        <w:tc>
          <w:tcPr>
            <w:tcW w:type="dxa" w:w="3408"/>
            <w:vAlign w:val="top"/>
          </w:tcPr>
          <w:p>
            <w:r>
              <w:rPr>
                <w:sz w:val="17"/>
              </w:rPr>
              <w:t>Client</w:t>
            </w:r>
          </w:p>
        </w:tc>
        <w:tc>
          <w:tcPr>
            <w:tcW w:type="dxa" w:w="3408"/>
            <w:vAlign w:val="top"/>
          </w:tcPr>
          <w:p>
            <w:r>
              <w:rPr>
                <w:sz w:val="17"/>
              </w:rPr>
              <w:t>Project facts, results, images, permissions, dates, locations.</w:t>
            </w:r>
          </w:p>
        </w:tc>
      </w:tr>
      <w:tr>
        <w:tc>
          <w:tcPr>
            <w:tcW w:type="dxa" w:w="3408"/>
            <w:vAlign w:val="top"/>
          </w:tcPr>
          <w:p>
            <w:r>
              <w:rPr>
                <w:sz w:val="17"/>
              </w:rPr>
              <w:t>News / editorial</w:t>
            </w:r>
          </w:p>
        </w:tc>
        <w:tc>
          <w:tcPr>
            <w:tcW w:type="dxa" w:w="3408"/>
            <w:vAlign w:val="top"/>
          </w:tcPr>
          <w:p>
            <w:r>
              <w:rPr>
                <w:sz w:val="17"/>
              </w:rPr>
              <w:t>Client + project team</w:t>
            </w:r>
          </w:p>
        </w:tc>
        <w:tc>
          <w:tcPr>
            <w:tcW w:type="dxa" w:w="3408"/>
            <w:vAlign w:val="top"/>
          </w:tcPr>
          <w:p>
            <w:r>
              <w:rPr>
                <w:sz w:val="17"/>
              </w:rPr>
              <w:t>Client supplies facts/approvals; project team formats and publishes within agreed scope.</w:t>
            </w:r>
          </w:p>
        </w:tc>
      </w:tr>
      <w:tr>
        <w:tc>
          <w:tcPr>
            <w:tcW w:type="dxa" w:w="3408"/>
            <w:vAlign w:val="top"/>
          </w:tcPr>
          <w:p>
            <w:r>
              <w:rPr>
                <w:sz w:val="17"/>
              </w:rPr>
              <w:t>Image / video rights</w:t>
            </w:r>
          </w:p>
        </w:tc>
        <w:tc>
          <w:tcPr>
            <w:tcW w:type="dxa" w:w="3408"/>
            <w:vAlign w:val="top"/>
          </w:tcPr>
          <w:p>
            <w:r>
              <w:rPr>
                <w:sz w:val="17"/>
              </w:rPr>
              <w:t>Client</w:t>
            </w:r>
          </w:p>
        </w:tc>
        <w:tc>
          <w:tcPr>
            <w:tcW w:type="dxa" w:w="3408"/>
            <w:vAlign w:val="top"/>
          </w:tcPr>
          <w:p>
            <w:r>
              <w:rPr>
                <w:sz w:val="17"/>
              </w:rPr>
              <w:t>Client should confirm ownership or usage permission unless production is separately commissioned.</w:t>
            </w:r>
          </w:p>
        </w:tc>
      </w:tr>
      <w:tr>
        <w:tc>
          <w:tcPr>
            <w:tcW w:type="dxa" w:w="3408"/>
            <w:vAlign w:val="top"/>
          </w:tcPr>
          <w:p>
            <w:r>
              <w:rPr>
                <w:sz w:val="17"/>
              </w:rPr>
              <w:t>Content formatting</w:t>
            </w:r>
          </w:p>
        </w:tc>
        <w:tc>
          <w:tcPr>
            <w:tcW w:type="dxa" w:w="3408"/>
            <w:vAlign w:val="top"/>
          </w:tcPr>
          <w:p>
            <w:r>
              <w:rPr>
                <w:sz w:val="17"/>
              </w:rPr>
              <w:t>Project team</w:t>
            </w:r>
          </w:p>
        </w:tc>
        <w:tc>
          <w:tcPr>
            <w:tcW w:type="dxa" w:w="3408"/>
            <w:vAlign w:val="top"/>
          </w:tcPr>
          <w:p>
            <w:r>
              <w:rPr>
                <w:sz w:val="17"/>
              </w:rPr>
              <w:t>Convert approved materials into the agreed page and content structures.</w:t>
            </w:r>
          </w:p>
        </w:tc>
      </w:tr>
      <w:tr>
        <w:tc>
          <w:tcPr>
            <w:tcW w:type="dxa" w:w="3408"/>
            <w:vAlign w:val="top"/>
          </w:tcPr>
          <w:p>
            <w:r>
              <w:rPr>
                <w:sz w:val="17"/>
              </w:rPr>
              <w:t>Final approval</w:t>
            </w:r>
          </w:p>
        </w:tc>
        <w:tc>
          <w:tcPr>
            <w:tcW w:type="dxa" w:w="3408"/>
            <w:vAlign w:val="top"/>
          </w:tcPr>
          <w:p>
            <w:r>
              <w:rPr>
                <w:sz w:val="17"/>
              </w:rPr>
              <w:t>Client</w:t>
            </w:r>
          </w:p>
        </w:tc>
        <w:tc>
          <w:tcPr>
            <w:tcW w:type="dxa" w:w="3408"/>
            <w:vAlign w:val="top"/>
          </w:tcPr>
          <w:p>
            <w:r>
              <w:rPr>
                <w:sz w:val="17"/>
              </w:rPr>
              <w:t>Client confirms factual accuracy, brand suitability, and publishing readiness.</w:t>
            </w:r>
          </w:p>
        </w:tc>
      </w:tr>
    </w:tbl>
    <w:p/>
    <w:p>
      <w:pPr>
        <w:pStyle w:val="Heading1"/>
      </w:pPr>
      <w:r>
        <w:t>4. Required Content Categories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Category</w:t>
            </w:r>
          </w:p>
        </w:tc>
        <w:tc>
          <w:tcPr>
            <w:tcW w:type="dxa" w:w="5112"/>
            <w:shd w:fill="17324D"/>
          </w:tcPr>
          <w:p>
            <w:r/>
            <w:r>
              <w:rPr>
                <w:b/>
                <w:color w:val="FFFFFF"/>
                <w:sz w:val="18"/>
              </w:rPr>
              <w:t>Typical materials</w:t>
            </w:r>
          </w:p>
        </w:tc>
      </w:tr>
      <w:tr>
        <w:tc>
          <w:tcPr>
            <w:tcW w:type="dxa" w:w="5112"/>
            <w:vAlign w:val="top"/>
          </w:tcPr>
          <w:p>
            <w:r>
              <w:rPr>
                <w:sz w:val="17"/>
              </w:rPr>
              <w:t>Corporate</w:t>
            </w:r>
          </w:p>
        </w:tc>
        <w:tc>
          <w:tcPr>
            <w:tcW w:type="dxa" w:w="5112"/>
            <w:vAlign w:val="top"/>
          </w:tcPr>
          <w:p>
            <w:r>
              <w:rPr>
                <w:sz w:val="17"/>
              </w:rPr>
              <w:t>Company overview, history, mission, vision, values, milestones, business units</w:t>
            </w:r>
          </w:p>
        </w:tc>
      </w:tr>
      <w:tr>
        <w:tc>
          <w:tcPr>
            <w:tcW w:type="dxa" w:w="5112"/>
            <w:vAlign w:val="top"/>
          </w:tcPr>
          <w:p>
            <w:r>
              <w:rPr>
                <w:sz w:val="17"/>
              </w:rPr>
              <w:t>Leadership</w:t>
            </w:r>
          </w:p>
        </w:tc>
        <w:tc>
          <w:tcPr>
            <w:tcW w:type="dxa" w:w="5112"/>
            <w:vAlign w:val="top"/>
          </w:tcPr>
          <w:p>
            <w:r>
              <w:rPr>
                <w:sz w:val="17"/>
              </w:rPr>
              <w:t>Names, roles, biographies, portraits, credentials or affiliations where relevant</w:t>
            </w:r>
          </w:p>
        </w:tc>
      </w:tr>
      <w:tr>
        <w:tc>
          <w:tcPr>
            <w:tcW w:type="dxa" w:w="5112"/>
            <w:vAlign w:val="top"/>
          </w:tcPr>
          <w:p>
            <w:r>
              <w:rPr>
                <w:sz w:val="17"/>
              </w:rPr>
              <w:t>Business</w:t>
            </w:r>
          </w:p>
        </w:tc>
        <w:tc>
          <w:tcPr>
            <w:tcW w:type="dxa" w:w="5112"/>
            <w:vAlign w:val="top"/>
          </w:tcPr>
          <w:p>
            <w:r>
              <w:rPr>
                <w:sz w:val="17"/>
              </w:rPr>
              <w:t>Services, products, industries, facilities, capabilities</w:t>
            </w:r>
          </w:p>
        </w:tc>
      </w:tr>
      <w:tr>
        <w:tc>
          <w:tcPr>
            <w:tcW w:type="dxa" w:w="5112"/>
            <w:vAlign w:val="top"/>
          </w:tcPr>
          <w:p>
            <w:r>
              <w:rPr>
                <w:sz w:val="17"/>
              </w:rPr>
              <w:t>Projects / Impact</w:t>
            </w:r>
          </w:p>
        </w:tc>
        <w:tc>
          <w:tcPr>
            <w:tcW w:type="dxa" w:w="5112"/>
            <w:vAlign w:val="top"/>
          </w:tcPr>
          <w:p>
            <w:r>
              <w:rPr>
                <w:sz w:val="17"/>
              </w:rPr>
              <w:t>Project summaries, scope, outcomes, locations, dates, statistics, imagery</w:t>
            </w:r>
          </w:p>
        </w:tc>
      </w:tr>
      <w:tr>
        <w:tc>
          <w:tcPr>
            <w:tcW w:type="dxa" w:w="5112"/>
            <w:vAlign w:val="top"/>
          </w:tcPr>
          <w:p>
            <w:r>
              <w:rPr>
                <w:sz w:val="17"/>
              </w:rPr>
              <w:t>Recognition</w:t>
            </w:r>
          </w:p>
        </w:tc>
        <w:tc>
          <w:tcPr>
            <w:tcW w:type="dxa" w:w="5112"/>
            <w:vAlign w:val="top"/>
          </w:tcPr>
          <w:p>
            <w:r>
              <w:rPr>
                <w:sz w:val="17"/>
              </w:rPr>
              <w:t>Awards, certifications, memberships, partnerships, client or partner logos</w:t>
            </w:r>
          </w:p>
        </w:tc>
      </w:tr>
      <w:tr>
        <w:tc>
          <w:tcPr>
            <w:tcW w:type="dxa" w:w="5112"/>
            <w:vAlign w:val="top"/>
          </w:tcPr>
          <w:p>
            <w:r>
              <w:rPr>
                <w:sz w:val="17"/>
              </w:rPr>
              <w:t>Editorial</w:t>
            </w:r>
          </w:p>
        </w:tc>
        <w:tc>
          <w:tcPr>
            <w:tcW w:type="dxa" w:w="5112"/>
            <w:vAlign w:val="top"/>
          </w:tcPr>
          <w:p>
            <w:r>
              <w:rPr>
                <w:sz w:val="17"/>
              </w:rPr>
              <w:t>News, articles, insights, publications, reports, announcements</w:t>
            </w:r>
          </w:p>
        </w:tc>
      </w:tr>
      <w:tr>
        <w:tc>
          <w:tcPr>
            <w:tcW w:type="dxa" w:w="5112"/>
            <w:vAlign w:val="top"/>
          </w:tcPr>
          <w:p>
            <w:r>
              <w:rPr>
                <w:sz w:val="17"/>
              </w:rPr>
              <w:t>Resources</w:t>
            </w:r>
          </w:p>
        </w:tc>
        <w:tc>
          <w:tcPr>
            <w:tcW w:type="dxa" w:w="5112"/>
            <w:vAlign w:val="top"/>
          </w:tcPr>
          <w:p>
            <w:r>
              <w:rPr>
                <w:sz w:val="17"/>
              </w:rPr>
              <w:t>Brochures, catalogs, technical documents, annual reports, media kits</w:t>
            </w:r>
          </w:p>
        </w:tc>
      </w:tr>
      <w:tr>
        <w:tc>
          <w:tcPr>
            <w:tcW w:type="dxa" w:w="5112"/>
            <w:vAlign w:val="top"/>
          </w:tcPr>
          <w:p>
            <w:r>
              <w:rPr>
                <w:sz w:val="17"/>
              </w:rPr>
              <w:t>Careers</w:t>
            </w:r>
          </w:p>
        </w:tc>
        <w:tc>
          <w:tcPr>
            <w:tcW w:type="dxa" w:w="5112"/>
            <w:vAlign w:val="top"/>
          </w:tcPr>
          <w:p>
            <w:r>
              <w:rPr>
                <w:sz w:val="17"/>
              </w:rPr>
              <w:t>Culture, employer proposition, vacancies, application information</w:t>
            </w:r>
          </w:p>
        </w:tc>
      </w:tr>
      <w:tr>
        <w:tc>
          <w:tcPr>
            <w:tcW w:type="dxa" w:w="5112"/>
            <w:vAlign w:val="top"/>
          </w:tcPr>
          <w:p>
            <w:r>
              <w:rPr>
                <w:sz w:val="17"/>
              </w:rPr>
              <w:t>Locations</w:t>
            </w:r>
          </w:p>
        </w:tc>
        <w:tc>
          <w:tcPr>
            <w:tcW w:type="dxa" w:w="5112"/>
            <w:vAlign w:val="top"/>
          </w:tcPr>
          <w:p>
            <w:r>
              <w:rPr>
                <w:sz w:val="17"/>
              </w:rPr>
              <w:t>Office names, addresses, phone/email, hours, map details</w:t>
            </w:r>
          </w:p>
        </w:tc>
      </w:tr>
      <w:tr>
        <w:tc>
          <w:tcPr>
            <w:tcW w:type="dxa" w:w="5112"/>
            <w:vAlign w:val="top"/>
          </w:tcPr>
          <w:p>
            <w:r>
              <w:rPr>
                <w:sz w:val="17"/>
              </w:rPr>
              <w:t>Contact / Conversion</w:t>
            </w:r>
          </w:p>
        </w:tc>
        <w:tc>
          <w:tcPr>
            <w:tcW w:type="dxa" w:w="5112"/>
            <w:vAlign w:val="top"/>
          </w:tcPr>
          <w:p>
            <w:r>
              <w:rPr>
                <w:sz w:val="17"/>
              </w:rPr>
              <w:t>General contact details, department contacts, RFQ information, WhatsApp/call details</w:t>
            </w:r>
          </w:p>
        </w:tc>
      </w:tr>
    </w:tbl>
    <w:p/>
    <w:p>
      <w:pPr>
        <w:pStyle w:val="Heading1"/>
      </w:pPr>
      <w:r>
        <w:t>5. Content Preparation Standards</w:t>
      </w:r>
    </w:p>
    <w:p>
      <w:pPr>
        <w:pStyle w:val="Heading2"/>
      </w:pPr>
      <w:r>
        <w:t>5.1 Corporate copy</w:t>
      </w:r>
    </w:p>
    <w:p>
      <w:pPr>
        <w:pStyle w:val="ListBullet"/>
      </w:pPr>
      <w:r>
        <w:t>Use current approved company information.</w:t>
      </w:r>
    </w:p>
    <w:p>
      <w:pPr>
        <w:pStyle w:val="ListBullet"/>
      </w:pPr>
      <w:r>
        <w:t>Prefer concise, specific statements over generic marketing language.</w:t>
      </w:r>
    </w:p>
    <w:p>
      <w:pPr>
        <w:pStyle w:val="ListBullet"/>
      </w:pPr>
      <w:r>
        <w:t>Claims about leadership, scale, certifications, awards, locations, and capabilities should be factually supported.</w:t>
      </w:r>
    </w:p>
    <w:p>
      <w:pPr>
        <w:pStyle w:val="ListBullet"/>
      </w:pPr>
      <w:r>
        <w:t>Keep terminology consistent across pages.</w:t>
      </w:r>
    </w:p>
    <w:p>
      <w:pPr>
        <w:pStyle w:val="Heading2"/>
      </w:pPr>
      <w:r>
        <w:t>5.2 Project and case-study content</w:t>
      </w:r>
    </w:p>
    <w:p>
      <w:pPr>
        <w:pStyle w:val="ListBullet"/>
      </w:pPr>
      <w:r>
        <w:t>Identify project name, client or context where permitted, location, date, scope, role, and outcomes.</w:t>
      </w:r>
    </w:p>
    <w:p>
      <w:pPr>
        <w:pStyle w:val="ListBullet"/>
      </w:pPr>
      <w:r>
        <w:t>Use measurable results where available.</w:t>
      </w:r>
    </w:p>
    <w:p>
      <w:pPr>
        <w:pStyle w:val="ListBullet"/>
      </w:pPr>
      <w:r>
        <w:t>Distinguish confirmed facts from promotional language.</w:t>
      </w:r>
    </w:p>
    <w:p>
      <w:pPr>
        <w:pStyle w:val="ListBullet"/>
      </w:pPr>
      <w:r>
        <w:t>Confirm permission to publish confidential project information and imagery.</w:t>
      </w:r>
    </w:p>
    <w:p>
      <w:pPr>
        <w:pStyle w:val="Heading2"/>
      </w:pPr>
      <w:r>
        <w:t>5.3 Executive content</w:t>
      </w:r>
    </w:p>
    <w:p>
      <w:pPr>
        <w:pStyle w:val="ListBullet"/>
      </w:pPr>
      <w:r>
        <w:t>Use consistent biography structure and length where practical.</w:t>
      </w:r>
    </w:p>
    <w:p>
      <w:pPr>
        <w:pStyle w:val="ListBullet"/>
      </w:pPr>
      <w:r>
        <w:t>Confirm spelling, title, credentials, and current role.</w:t>
      </w:r>
    </w:p>
    <w:p>
      <w:pPr>
        <w:pStyle w:val="ListBullet"/>
      </w:pPr>
      <w:r>
        <w:t>Use approved professional portraits with consistent visual treatment.</w:t>
      </w:r>
    </w:p>
    <w:p>
      <w:pPr>
        <w:pStyle w:val="Heading1"/>
      </w:pPr>
      <w:r>
        <w:t>6. Image Standards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Asset type</w:t>
            </w:r>
          </w:p>
        </w:tc>
        <w:tc>
          <w:tcPr>
            <w:tcW w:type="dxa" w:w="5112"/>
            <w:shd w:fill="17324D"/>
          </w:tcPr>
          <w:p>
            <w:r/>
            <w:r>
              <w:rPr>
                <w:b/>
                <w:color w:val="FFFFFF"/>
                <w:sz w:val="18"/>
              </w:rPr>
              <w:t>Preparation rule</w:t>
            </w:r>
          </w:p>
        </w:tc>
      </w:tr>
      <w:tr>
        <w:tc>
          <w:tcPr>
            <w:tcW w:type="dxa" w:w="5112"/>
            <w:vAlign w:val="top"/>
          </w:tcPr>
          <w:p>
            <w:r>
              <w:rPr>
                <w:sz w:val="17"/>
              </w:rPr>
              <w:t>Logo</w:t>
            </w:r>
          </w:p>
        </w:tc>
        <w:tc>
          <w:tcPr>
            <w:tcW w:type="dxa" w:w="5112"/>
            <w:vAlign w:val="top"/>
          </w:tcPr>
          <w:p>
            <w:r>
              <w:rPr>
                <w:sz w:val="17"/>
              </w:rPr>
              <w:t>Provide vector source where available plus web-ready version; preserve clear space and official proportions.</w:t>
            </w:r>
          </w:p>
        </w:tc>
      </w:tr>
      <w:tr>
        <w:tc>
          <w:tcPr>
            <w:tcW w:type="dxa" w:w="5112"/>
            <w:vAlign w:val="top"/>
          </w:tcPr>
          <w:p>
            <w:r>
              <w:rPr>
                <w:sz w:val="17"/>
              </w:rPr>
              <w:t>Hero / feature photography</w:t>
            </w:r>
          </w:p>
        </w:tc>
        <w:tc>
          <w:tcPr>
            <w:tcW w:type="dxa" w:w="5112"/>
            <w:vAlign w:val="top"/>
          </w:tcPr>
          <w:p>
            <w:r>
              <w:rPr>
                <w:sz w:val="17"/>
              </w:rPr>
              <w:t>High-quality source image, sufficient resolution for intended crop, rights confirmed.</w:t>
            </w:r>
          </w:p>
        </w:tc>
      </w:tr>
      <w:tr>
        <w:tc>
          <w:tcPr>
            <w:tcW w:type="dxa" w:w="5112"/>
            <w:vAlign w:val="top"/>
          </w:tcPr>
          <w:p>
            <w:r>
              <w:rPr>
                <w:sz w:val="17"/>
              </w:rPr>
              <w:t>Project imagery</w:t>
            </w:r>
          </w:p>
        </w:tc>
        <w:tc>
          <w:tcPr>
            <w:tcW w:type="dxa" w:w="5112"/>
            <w:vAlign w:val="top"/>
          </w:tcPr>
          <w:p>
            <w:r>
              <w:rPr>
                <w:sz w:val="17"/>
              </w:rPr>
              <w:t>Use original project images where possible; label subject/location clearly.</w:t>
            </w:r>
          </w:p>
        </w:tc>
      </w:tr>
      <w:tr>
        <w:tc>
          <w:tcPr>
            <w:tcW w:type="dxa" w:w="5112"/>
            <w:vAlign w:val="top"/>
          </w:tcPr>
          <w:p>
            <w:r>
              <w:rPr>
                <w:sz w:val="17"/>
              </w:rPr>
              <w:t>Portraits</w:t>
            </w:r>
          </w:p>
        </w:tc>
        <w:tc>
          <w:tcPr>
            <w:tcW w:type="dxa" w:w="5112"/>
            <w:vAlign w:val="top"/>
          </w:tcPr>
          <w:p>
            <w:r>
              <w:rPr>
                <w:sz w:val="17"/>
              </w:rPr>
              <w:t>Consistent orientation and quality; approved current portraits.</w:t>
            </w:r>
          </w:p>
        </w:tc>
      </w:tr>
      <w:tr>
        <w:tc>
          <w:tcPr>
            <w:tcW w:type="dxa" w:w="5112"/>
            <w:vAlign w:val="top"/>
          </w:tcPr>
          <w:p>
            <w:r>
              <w:rPr>
                <w:sz w:val="17"/>
              </w:rPr>
              <w:t>Partner/client logos</w:t>
            </w:r>
          </w:p>
        </w:tc>
        <w:tc>
          <w:tcPr>
            <w:tcW w:type="dxa" w:w="5112"/>
            <w:vAlign w:val="top"/>
          </w:tcPr>
          <w:p>
            <w:r>
              <w:rPr>
                <w:sz w:val="17"/>
              </w:rPr>
              <w:t>Use official supplied artwork and confirm permission for display.</w:t>
            </w:r>
          </w:p>
        </w:tc>
      </w:tr>
      <w:tr>
        <w:tc>
          <w:tcPr>
            <w:tcW w:type="dxa" w:w="5112"/>
            <w:vAlign w:val="top"/>
          </w:tcPr>
          <w:p>
            <w:r>
              <w:rPr>
                <w:sz w:val="17"/>
              </w:rPr>
              <w:t>Icons / illustrations</w:t>
            </w:r>
          </w:p>
        </w:tc>
        <w:tc>
          <w:tcPr>
            <w:tcW w:type="dxa" w:w="5112"/>
            <w:vAlign w:val="top"/>
          </w:tcPr>
          <w:p>
            <w:r>
              <w:rPr>
                <w:sz w:val="17"/>
              </w:rPr>
              <w:t>Provide source files or approved reference if supplied by client; avoid mixing unrelated styles.</w:t>
            </w:r>
          </w:p>
        </w:tc>
      </w:tr>
      <w:tr>
        <w:tc>
          <w:tcPr>
            <w:tcW w:type="dxa" w:w="5112"/>
            <w:vAlign w:val="top"/>
          </w:tcPr>
          <w:p>
            <w:r>
              <w:rPr>
                <w:sz w:val="17"/>
              </w:rPr>
              <w:t>Video</w:t>
            </w:r>
          </w:p>
        </w:tc>
        <w:tc>
          <w:tcPr>
            <w:tcW w:type="dxa" w:w="5112"/>
            <w:vAlign w:val="top"/>
          </w:tcPr>
          <w:p>
            <w:r>
              <w:rPr>
                <w:sz w:val="17"/>
              </w:rPr>
              <w:t>Provide source/master file where possible, poster/thumbnail image, title, description, and usage rights.</w:t>
            </w:r>
          </w:p>
        </w:tc>
      </w:tr>
    </w:tbl>
    <w:p/>
    <w:p>
      <w:pPr>
        <w:pStyle w:val="Heading1"/>
      </w:pPr>
      <w:r>
        <w:t>7. Image Quality &amp; Cropping Rules</w:t>
      </w:r>
    </w:p>
    <w:p>
      <w:pPr>
        <w:pStyle w:val="ListBullet"/>
      </w:pPr>
      <w:r>
        <w:t>Provide the highest-quality source available; optimization should happen during production.</w:t>
      </w:r>
    </w:p>
    <w:p>
      <w:pPr>
        <w:pStyle w:val="ListBullet"/>
      </w:pPr>
      <w:r>
        <w:t>Do not repeatedly resize and recompress the only source file.</w:t>
      </w:r>
    </w:p>
    <w:p>
      <w:pPr>
        <w:pStyle w:val="ListBullet"/>
      </w:pPr>
      <w:r>
        <w:t>Identify important subjects or focal points when an image may need aggressive cropping.</w:t>
      </w:r>
    </w:p>
    <w:p>
      <w:pPr>
        <w:pStyle w:val="ListBullet"/>
      </w:pPr>
      <w:r>
        <w:t>Avoid stretched, pixelated, visibly over-compressed, or inconsistently edited images.</w:t>
      </w:r>
    </w:p>
    <w:p>
      <w:pPr>
        <w:pStyle w:val="ListBullet"/>
      </w:pPr>
      <w:r>
        <w:t>Use consistent aspect-ratio conventions within repeated content patterns.</w:t>
      </w:r>
    </w:p>
    <w:p>
      <w:pPr>
        <w:pStyle w:val="ListBullet"/>
      </w:pPr>
      <w:r>
        <w:t>Keep original files separate from web-optimized derivatives.</w:t>
      </w:r>
    </w:p>
    <w:p>
      <w:pPr>
        <w:pStyle w:val="Heading1"/>
      </w:pPr>
      <w:r>
        <w:t>8. Document &amp; Downloadable Asset Standards</w:t>
      </w:r>
    </w:p>
    <w:p>
      <w:pPr>
        <w:pStyle w:val="ListBullet"/>
      </w:pPr>
      <w:r>
        <w:t>Each downloadable file should have a clear title, document type, and version/date where relevant.</w:t>
      </w:r>
    </w:p>
    <w:p>
      <w:pPr>
        <w:pStyle w:val="ListBullet"/>
      </w:pPr>
      <w:r>
        <w:t>Use final approved files only; avoid duplicate drafts in the production asset folder.</w:t>
      </w:r>
    </w:p>
    <w:p>
      <w:pPr>
        <w:pStyle w:val="ListBullet"/>
      </w:pPr>
      <w:r>
        <w:t>Ensure PDFs and documents are readable and appropriate for external distribution.</w:t>
      </w:r>
    </w:p>
    <w:p>
      <w:pPr>
        <w:pStyle w:val="ListBullet"/>
      </w:pPr>
      <w:r>
        <w:t>Confirm that included contact details, dates, statistics, and branding are current.</w:t>
      </w:r>
    </w:p>
    <w:p>
      <w:pPr>
        <w:pStyle w:val="ListBullet"/>
      </w:pPr>
      <w:r>
        <w:t>Where practical, keep an editable/source copy separate from the public file.</w:t>
      </w:r>
    </w:p>
    <w:p>
      <w:pPr>
        <w:pStyle w:val="Heading1"/>
      </w:pPr>
      <w:r>
        <w:t>9. Asset Naming Convention</w:t>
      </w:r>
    </w:p>
    <w:p>
      <w:r>
        <w:t>Use predictable names so files can be searched and mapped to content. Example pattern:</w:t>
      </w:r>
    </w:p>
    <w:p>
      <w:pPr>
        <w:pStyle w:val="IntenseQuote"/>
      </w:pPr>
      <w:r>
        <w:t>[content-type]_[subject]_[descriptor]_[version].[ext]</w:t>
      </w:r>
    </w:p>
    <w:p>
      <w:r>
        <w:rPr>
          <w:b/>
        </w:rPr>
        <w:t xml:space="preserve">Examples: </w:t>
      </w:r>
      <w:r>
        <w:t>leadership_ceo_john-doe_v1.jpg • project_bridge-east_cover_v2.jpg • resource_company-profile_2026.pdf</w:t>
      </w:r>
    </w:p>
    <w:p>
      <w:pPr>
        <w:pStyle w:val="ListBullet"/>
      </w:pPr>
      <w:r>
        <w:t>Use lowercase where practical.</w:t>
      </w:r>
    </w:p>
    <w:p>
      <w:pPr>
        <w:pStyle w:val="ListBullet"/>
      </w:pPr>
      <w:r>
        <w:t>Use hyphens or underscores consistently.</w:t>
      </w:r>
    </w:p>
    <w:p>
      <w:pPr>
        <w:pStyle w:val="ListBullet"/>
      </w:pPr>
      <w:r>
        <w:t>Avoid spaces, unexplained abbreviations, and names such as final-final2.</w:t>
      </w:r>
    </w:p>
    <w:p>
      <w:pPr>
        <w:pStyle w:val="ListBullet"/>
      </w:pPr>
      <w:r>
        <w:t>Use version markers only when multiple approved versions genuinely exist.</w:t>
      </w:r>
    </w:p>
    <w:p>
      <w:pPr>
        <w:pStyle w:val="Heading1"/>
      </w:pPr>
      <w:r>
        <w:t>10. Asset Folder Structure</w:t>
      </w:r>
    </w:p>
    <w:p>
      <w:pPr>
        <w:pStyle w:val="IntenseQuote"/>
      </w:pPr>
      <w:r>
        <w:t>01-brand / 02-corporate / 03-leadership / 04-services-products / 05-projects / 06-recognition / 07-editorial / 08-resources / 09-careers / 10-locations / 11-contact / 12-legal-usage / 13-final-web-assets</w:t>
      </w:r>
    </w:p>
    <w:p>
      <w:r>
        <w:t>The exact structure can be adjusted for the client, but the principle should remain: source assets, approved assets, and web-ready assets must be easy to distinguish.</w:t>
      </w:r>
    </w:p>
    <w:p>
      <w:pPr>
        <w:pStyle w:val="Heading1"/>
      </w:pPr>
      <w:r>
        <w:t>11. Placeholder Policy</w:t>
      </w:r>
    </w:p>
    <w:p>
      <w:pPr>
        <w:pStyle w:val="ListBullet"/>
      </w:pPr>
      <w:r>
        <w:t>Placeholders must be clearly marked as placeholders in internal working files.</w:t>
      </w:r>
    </w:p>
    <w:p>
      <w:pPr>
        <w:pStyle w:val="ListBullet"/>
      </w:pPr>
      <w:r>
        <w:t>Do not invent executive names, project statistics, awards, client logos, testimonials, addresses, or other factual content.</w:t>
      </w:r>
    </w:p>
    <w:p>
      <w:pPr>
        <w:pStyle w:val="ListBullet"/>
      </w:pPr>
      <w:r>
        <w:t>Generic sample copy may be used only to demonstrate layout or interaction and must be replaced before production approval.</w:t>
      </w:r>
    </w:p>
    <w:p>
      <w:pPr>
        <w:pStyle w:val="ListBullet"/>
      </w:pPr>
      <w:r>
        <w:t>Placeholder imagery should be visibly treated as temporary when shown to the client for review.</w:t>
      </w:r>
    </w:p>
    <w:p>
      <w:pPr>
        <w:pStyle w:val="Heading1"/>
      </w:pPr>
      <w:r>
        <w:t>12. Content Quality Checklist</w:t>
      </w:r>
    </w:p>
    <w:p>
      <w:pPr>
        <w:pStyle w:val="ListNumber"/>
      </w:pPr>
      <w:r>
        <w:t>Correct and current information is supplied.</w:t>
      </w:r>
    </w:p>
    <w:p>
      <w:pPr>
        <w:pStyle w:val="ListNumber"/>
      </w:pPr>
      <w:r>
        <w:t>Names, titles, dates, figures, locations, and contact information are verified.</w:t>
      </w:r>
    </w:p>
    <w:p>
      <w:pPr>
        <w:pStyle w:val="ListNumber"/>
      </w:pPr>
      <w:r>
        <w:t>Content follows the approved brand terminology.</w:t>
      </w:r>
    </w:p>
    <w:p>
      <w:pPr>
        <w:pStyle w:val="ListNumber"/>
      </w:pPr>
      <w:r>
        <w:t>Long-form content is divided into useful headings and sections.</w:t>
      </w:r>
    </w:p>
    <w:p>
      <w:pPr>
        <w:pStyle w:val="ListNumber"/>
      </w:pPr>
      <w:r>
        <w:t>Images have clear subjects and approved usage rights.</w:t>
      </w:r>
    </w:p>
    <w:p>
      <w:pPr>
        <w:pStyle w:val="ListNumber"/>
      </w:pPr>
      <w:r>
        <w:t>Downloadable documents are final and externally usable.</w:t>
      </w:r>
    </w:p>
    <w:p>
      <w:pPr>
        <w:pStyle w:val="ListNumber"/>
      </w:pPr>
      <w:r>
        <w:t>All required content for the page family is present or explicitly marked as outstanding.</w:t>
      </w:r>
    </w:p>
    <w:p>
      <w:pPr>
        <w:pStyle w:val="ListNumber"/>
      </w:pPr>
      <w:r>
        <w:t>Client has reviewed content before final publishing.</w:t>
      </w:r>
    </w:p>
    <w:p>
      <w:pPr>
        <w:pStyle w:val="Heading1"/>
      </w:pPr>
      <w:r>
        <w:t>13. Licensing, Rights &amp; Consent</w:t>
      </w:r>
    </w:p>
    <w:p>
      <w:pPr>
        <w:pStyle w:val="ListBullet"/>
      </w:pPr>
      <w:r>
        <w:t>The client is responsible for confirming that supplied logos, photos, videos, documents, testimonials, and third-party materials may be used on the website unless another arrangement is agreed.</w:t>
      </w:r>
    </w:p>
    <w:p>
      <w:pPr>
        <w:pStyle w:val="ListBullet"/>
      </w:pPr>
      <w:r>
        <w:t>Executive portraits and personal biographies should be approved by the relevant individuals or the organization according to the client’s internal process.</w:t>
      </w:r>
    </w:p>
    <w:p>
      <w:pPr>
        <w:pStyle w:val="ListBullet"/>
      </w:pPr>
      <w:r>
        <w:t>Partner/client logos should be used only where permitted.</w:t>
      </w:r>
    </w:p>
    <w:p>
      <w:pPr>
        <w:pStyle w:val="ListBullet"/>
      </w:pPr>
      <w:r>
        <w:t>Stock assets, fonts, music, video, and third-party media require appropriate licenses.</w:t>
      </w:r>
    </w:p>
    <w:p>
      <w:pPr>
        <w:pStyle w:val="ListBullet"/>
      </w:pPr>
      <w:r>
        <w:t>Usage restrictions or expiry dates should be documented when applicable.</w:t>
      </w:r>
    </w:p>
    <w:p>
      <w:pPr>
        <w:pStyle w:val="Heading1"/>
      </w:pPr>
      <w:r>
        <w:t>14. Content Review &amp; Approval Workflow</w:t>
      </w:r>
    </w:p>
    <w:p>
      <w:pPr>
        <w:pStyle w:val="ListNumber"/>
      </w:pPr>
      <w:r>
        <w:t>Client provides source materials.</w:t>
      </w:r>
    </w:p>
    <w:p>
      <w:pPr>
        <w:pStyle w:val="ListNumber"/>
      </w:pPr>
      <w:r>
        <w:t>Project team organizes and maps materials to the approved Content Model and page structures.</w:t>
      </w:r>
    </w:p>
    <w:p>
      <w:pPr>
        <w:pStyle w:val="ListNumber"/>
      </w:pPr>
      <w:r>
        <w:t>Content gaps, conflicts, or missing approvals are identified.</w:t>
      </w:r>
    </w:p>
    <w:p>
      <w:pPr>
        <w:pStyle w:val="ListNumber"/>
      </w:pPr>
      <w:r>
        <w:t>Content is formatted for the approved page/template patterns.</w:t>
      </w:r>
    </w:p>
    <w:p>
      <w:pPr>
        <w:pStyle w:val="ListNumber"/>
      </w:pPr>
      <w:r>
        <w:t>Client reviews factual accuracy and brand suitability.</w:t>
      </w:r>
    </w:p>
    <w:p>
      <w:pPr>
        <w:pStyle w:val="ListNumber"/>
      </w:pPr>
      <w:r>
        <w:t>Corrections are incorporated within the agreed review period.</w:t>
      </w:r>
    </w:p>
    <w:p>
      <w:pPr>
        <w:pStyle w:val="ListNumber"/>
      </w:pPr>
      <w:r>
        <w:t>Approved content is marked as final for implementation or publication.</w:t>
      </w:r>
    </w:p>
    <w:p>
      <w:pPr>
        <w:pStyle w:val="Heading1"/>
      </w:pPr>
      <w:r>
        <w:t>15. Content Freeze</w:t>
      </w:r>
    </w:p>
    <w:p>
      <w:r>
        <w:t>A content freeze should be established before final QA and launch. After the agreed freeze point, changes to major copy, images, documents, or page structure should be treated as controlled changes because they may affect design, layout, testing, SEO, and launch readiness.</w:t>
      </w:r>
    </w:p>
    <w:p>
      <w:pPr>
        <w:pStyle w:val="Heading1"/>
      </w:pPr>
      <w:r>
        <w:t>16. Template-Specific Asset Priorities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Template</w:t>
            </w:r>
          </w:p>
        </w:tc>
        <w:tc>
          <w:tcPr>
            <w:tcW w:type="dxa" w:w="5112"/>
            <w:shd w:fill="17324D"/>
          </w:tcPr>
          <w:p>
            <w:r/>
            <w:r>
              <w:rPr>
                <w:b/>
                <w:color w:val="FFFFFF"/>
                <w:sz w:val="18"/>
              </w:rPr>
              <w:t>Highest-priority assets</w:t>
            </w:r>
          </w:p>
        </w:tc>
      </w:tr>
      <w:tr>
        <w:tc>
          <w:tcPr>
            <w:tcW w:type="dxa" w:w="5112"/>
            <w:vAlign w:val="top"/>
          </w:tcPr>
          <w:p>
            <w:r>
              <w:rPr>
                <w:sz w:val="17"/>
              </w:rPr>
              <w:t>Corporate Authority</w:t>
            </w:r>
          </w:p>
        </w:tc>
        <w:tc>
          <w:tcPr>
            <w:tcW w:type="dxa" w:w="5112"/>
            <w:vAlign w:val="top"/>
          </w:tcPr>
          <w:p>
            <w:r>
              <w:rPr>
                <w:sz w:val="17"/>
              </w:rPr>
              <w:t>Corporate photography, facilities, leadership portraits, projects, statistics, certifications, awards, partner/client logos</w:t>
            </w:r>
          </w:p>
        </w:tc>
      </w:tr>
      <w:tr>
        <w:tc>
          <w:tcPr>
            <w:tcW w:type="dxa" w:w="5112"/>
            <w:vAlign w:val="top"/>
          </w:tcPr>
          <w:p>
            <w:r>
              <w:rPr>
                <w:sz w:val="17"/>
              </w:rPr>
              <w:t>Editorial Expertise</w:t>
            </w:r>
          </w:p>
        </w:tc>
        <w:tc>
          <w:tcPr>
            <w:tcW w:type="dxa" w:w="5112"/>
            <w:vAlign w:val="top"/>
          </w:tcPr>
          <w:p>
            <w:r>
              <w:rPr>
                <w:sz w:val="17"/>
              </w:rPr>
              <w:t>Expert portraits, project/documentary imagery, publications, reports, case studies, insight graphics, research/resource materials</w:t>
            </w:r>
          </w:p>
        </w:tc>
      </w:tr>
      <w:tr>
        <w:tc>
          <w:tcPr>
            <w:tcW w:type="dxa" w:w="5112"/>
            <w:vAlign w:val="top"/>
          </w:tcPr>
          <w:p>
            <w:r>
              <w:rPr>
                <w:sz w:val="17"/>
              </w:rPr>
              <w:t>Premium Experience</w:t>
            </w:r>
          </w:p>
        </w:tc>
        <w:tc>
          <w:tcPr>
            <w:tcW w:type="dxa" w:w="5112"/>
            <w:vAlign w:val="top"/>
          </w:tcPr>
          <w:p>
            <w:r>
              <w:rPr>
                <w:sz w:val="17"/>
              </w:rPr>
              <w:t>High-quality photography, environmental imagery, brand film/video where justified, galleries, spaces/experiences, refined editorial assets</w:t>
            </w:r>
          </w:p>
        </w:tc>
      </w:tr>
    </w:tbl>
    <w:p/>
    <w:p>
      <w:pPr>
        <w:pStyle w:val="Heading1"/>
      </w:pPr>
      <w:r>
        <w:t>17. Content &amp; Asset Handover Package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Handover item</w:t>
            </w:r>
          </w:p>
        </w:tc>
        <w:tc>
          <w:tcPr>
            <w:tcW w:type="dxa" w:w="5112"/>
            <w:shd w:fill="17324D"/>
          </w:tcPr>
          <w:p>
            <w:r/>
            <w:r>
              <w:rPr>
                <w:b/>
                <w:color w:val="FFFFFF"/>
                <w:sz w:val="18"/>
              </w:rPr>
              <w:t>Expected result</w:t>
            </w:r>
          </w:p>
        </w:tc>
      </w:tr>
      <w:tr>
        <w:tc>
          <w:tcPr>
            <w:tcW w:type="dxa" w:w="5112"/>
            <w:vAlign w:val="top"/>
          </w:tcPr>
          <w:p>
            <w:r>
              <w:rPr>
                <w:sz w:val="17"/>
              </w:rPr>
              <w:t>Approved content</w:t>
            </w:r>
          </w:p>
        </w:tc>
        <w:tc>
          <w:tcPr>
            <w:tcW w:type="dxa" w:w="5112"/>
            <w:vAlign w:val="top"/>
          </w:tcPr>
          <w:p>
            <w:r>
              <w:rPr>
                <w:sz w:val="17"/>
              </w:rPr>
              <w:t>Final text grouped or mapped to the relevant website content type/page</w:t>
            </w:r>
          </w:p>
        </w:tc>
      </w:tr>
      <w:tr>
        <w:tc>
          <w:tcPr>
            <w:tcW w:type="dxa" w:w="5112"/>
            <w:vAlign w:val="top"/>
          </w:tcPr>
          <w:p>
            <w:r>
              <w:rPr>
                <w:sz w:val="17"/>
              </w:rPr>
              <w:t>Brand package</w:t>
            </w:r>
          </w:p>
        </w:tc>
        <w:tc>
          <w:tcPr>
            <w:tcW w:type="dxa" w:w="5112"/>
            <w:vAlign w:val="top"/>
          </w:tcPr>
          <w:p>
            <w:r>
              <w:rPr>
                <w:sz w:val="17"/>
              </w:rPr>
              <w:t>Approved logo variants, brand references, and relevant identity assets</w:t>
            </w:r>
          </w:p>
        </w:tc>
      </w:tr>
      <w:tr>
        <w:tc>
          <w:tcPr>
            <w:tcW w:type="dxa" w:w="5112"/>
            <w:vAlign w:val="top"/>
          </w:tcPr>
          <w:p>
            <w:r>
              <w:rPr>
                <w:sz w:val="17"/>
              </w:rPr>
              <w:t>Image library</w:t>
            </w:r>
          </w:p>
        </w:tc>
        <w:tc>
          <w:tcPr>
            <w:tcW w:type="dxa" w:w="5112"/>
            <w:vAlign w:val="top"/>
          </w:tcPr>
          <w:p>
            <w:r>
              <w:rPr>
                <w:sz w:val="17"/>
              </w:rPr>
              <w:t>Organized source and approved web-use images</w:t>
            </w:r>
          </w:p>
        </w:tc>
      </w:tr>
      <w:tr>
        <w:tc>
          <w:tcPr>
            <w:tcW w:type="dxa" w:w="5112"/>
            <w:vAlign w:val="top"/>
          </w:tcPr>
          <w:p>
            <w:r>
              <w:rPr>
                <w:sz w:val="17"/>
              </w:rPr>
              <w:t>Documents</w:t>
            </w:r>
          </w:p>
        </w:tc>
        <w:tc>
          <w:tcPr>
            <w:tcW w:type="dxa" w:w="5112"/>
            <w:vAlign w:val="top"/>
          </w:tcPr>
          <w:p>
            <w:r>
              <w:rPr>
                <w:sz w:val="17"/>
              </w:rPr>
              <w:t>Final approved PDFs/downloadables with clear names and versions</w:t>
            </w:r>
          </w:p>
        </w:tc>
      </w:tr>
      <w:tr>
        <w:tc>
          <w:tcPr>
            <w:tcW w:type="dxa" w:w="5112"/>
            <w:vAlign w:val="top"/>
          </w:tcPr>
          <w:p>
            <w:r>
              <w:rPr>
                <w:sz w:val="17"/>
              </w:rPr>
              <w:t>Usage notes</w:t>
            </w:r>
          </w:p>
        </w:tc>
        <w:tc>
          <w:tcPr>
            <w:tcW w:type="dxa" w:w="5112"/>
            <w:vAlign w:val="top"/>
          </w:tcPr>
          <w:p>
            <w:r>
              <w:rPr>
                <w:sz w:val="17"/>
              </w:rPr>
              <w:t>Known rights, restrictions, attribution, or expiry information</w:t>
            </w:r>
          </w:p>
        </w:tc>
      </w:tr>
      <w:tr>
        <w:tc>
          <w:tcPr>
            <w:tcW w:type="dxa" w:w="5112"/>
            <w:vAlign w:val="top"/>
          </w:tcPr>
          <w:p>
            <w:r>
              <w:rPr>
                <w:sz w:val="17"/>
              </w:rPr>
              <w:t>Outstanding items</w:t>
            </w:r>
          </w:p>
        </w:tc>
        <w:tc>
          <w:tcPr>
            <w:tcW w:type="dxa" w:w="5112"/>
            <w:vAlign w:val="top"/>
          </w:tcPr>
          <w:p>
            <w:r>
              <w:rPr>
                <w:sz w:val="17"/>
              </w:rPr>
              <w:t>Explicit list of missing content/assets and owner responsible</w:t>
            </w:r>
          </w:p>
        </w:tc>
      </w:tr>
      <w:tr>
        <w:tc>
          <w:tcPr>
            <w:tcW w:type="dxa" w:w="5112"/>
            <w:vAlign w:val="top"/>
          </w:tcPr>
          <w:p>
            <w:r>
              <w:rPr>
                <w:sz w:val="17"/>
              </w:rPr>
              <w:t>Approval record</w:t>
            </w:r>
          </w:p>
        </w:tc>
        <w:tc>
          <w:tcPr>
            <w:tcW w:type="dxa" w:w="5112"/>
            <w:vAlign w:val="top"/>
          </w:tcPr>
          <w:p>
            <w:r>
              <w:rPr>
                <w:sz w:val="17"/>
              </w:rPr>
              <w:t>Evidence that final content/assets were reviewed and approved</w:t>
            </w:r>
          </w:p>
        </w:tc>
      </w:tr>
    </w:tbl>
    <w:p/>
    <w:p>
      <w:pPr>
        <w:pStyle w:val="Heading1"/>
      </w:pPr>
      <w:r>
        <w:t>18. What This Phase Does Not Define</w:t>
      </w:r>
    </w:p>
    <w:p>
      <w:pPr>
        <w:pStyle w:val="ListBullet"/>
      </w:pPr>
      <w:r>
        <w:t>It does not redefine the Content Model or field structure from Phase 6.</w:t>
      </w:r>
    </w:p>
    <w:p>
      <w:pPr>
        <w:pStyle w:val="ListBullet"/>
      </w:pPr>
      <w:r>
        <w:t>It does not define the detailed technical asset pipeline from Phase 10.</w:t>
      </w:r>
    </w:p>
    <w:p>
      <w:pPr>
        <w:pStyle w:val="ListBullet"/>
      </w:pPr>
      <w:r>
        <w:t>It does not replace the SEO strategy from Phase 7.</w:t>
      </w:r>
    </w:p>
    <w:p>
      <w:pPr>
        <w:pStyle w:val="ListBullet"/>
      </w:pPr>
      <w:r>
        <w:t>It does not define final page design; that belongs to Phases 3–5 and the detailed template manuals later.</w:t>
      </w:r>
    </w:p>
    <w:p>
      <w:pPr>
        <w:pStyle w:val="Heading1"/>
      </w:pPr>
      <w:r>
        <w:t>19. Phase Completion Criteria</w:t>
      </w:r>
    </w:p>
    <w:p>
      <w:pPr>
        <w:pStyle w:val="ListBullet"/>
      </w:pPr>
      <w:r>
        <w:t>Client content responsibilities are clear.</w:t>
      </w:r>
    </w:p>
    <w:p>
      <w:pPr>
        <w:pStyle w:val="ListBullet"/>
      </w:pPr>
      <w:r>
        <w:t>Required content and asset categories are defined.</w:t>
      </w:r>
    </w:p>
    <w:p>
      <w:pPr>
        <w:pStyle w:val="ListBullet"/>
      </w:pPr>
      <w:r>
        <w:t>Asset quality, naming, organization, and rights rules are defined.</w:t>
      </w:r>
    </w:p>
    <w:p>
      <w:pPr>
        <w:pStyle w:val="ListBullet"/>
      </w:pPr>
      <w:r>
        <w:t>Placeholder and approval rules are established.</w:t>
      </w:r>
    </w:p>
    <w:p>
      <w:pPr>
        <w:pStyle w:val="ListBullet"/>
      </w:pPr>
      <w:r>
        <w:t>Content review and freeze procedures are established.</w:t>
      </w:r>
    </w:p>
    <w:p>
      <w:pPr>
        <w:pStyle w:val="ListBullet"/>
      </w:pPr>
      <w:r>
        <w:t>Template-specific asset priorities are understood.</w:t>
      </w:r>
    </w:p>
    <w:p>
      <w:pPr>
        <w:pStyle w:val="ListBullet"/>
      </w:pPr>
      <w:r>
        <w:t>The final handover package is defined.</w:t>
      </w:r>
    </w:p>
    <w:p>
      <w:pPr>
        <w:pStyle w:val="ListBullet"/>
      </w:pPr>
      <w:r>
        <w:t>The phase can support production without duplicating the Content Model.</w:t>
      </w:r>
    </w:p>
    <w:p>
      <w:pPr>
        <w:pStyle w:val="Heading1"/>
      </w:pPr>
      <w:r>
        <w:t>20. Next Phase</w:t>
      </w:r>
    </w:p>
    <w:p>
      <w:r>
        <w:t>The next phase in the full workflow is Phase 12 — Testing / QA. Because this phase combines design/content acceptance with the technical implementation work handled by your friend, the QA document should clearly separate visual, content, responsive, accessibility, functional, and technical checks.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11 Content &amp; Assets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4A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