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2"/>
        </w:rPr>
        <w:t>PACKAGE 3 — PROFESSIONAL PRESENCE</w:t>
      </w:r>
    </w:p>
    <w:p>
      <w:pPr>
        <w:jc w:val="center"/>
      </w:pPr>
      <w:r>
        <w:rPr>
          <w:b/>
          <w:color w:val="A86B32"/>
          <w:sz w:val="46"/>
        </w:rPr>
        <w:t>Phase 15 — Handover</w:t>
      </w:r>
    </w:p>
    <w:p>
      <w:pPr>
        <w:jc w:val="center"/>
      </w:pPr>
      <w:r>
        <w:rPr>
          <w:i/>
        </w:rPr>
        <w:t>Version 1.0</w:t>
      </w:r>
    </w:p>
    <w:p>
      <w:pPr>
        <w:jc w:val="center"/>
      </w:pPr>
      <w:r>
        <w:rPr>
          <w:sz w:val="18"/>
        </w:rPr>
        <w:t>Workflow: … → Maintenance ✓ → Handover → Acceptance</w:t>
      </w:r>
    </w:p>
    <w:p>
      <w:r>
        <w:t>This document defines the formal transfer of the completed Professional Presence website from project delivery to the client and ongoing maintenance. It specifies what is handed over, what training is provided, how access and documentation are transferred, and when the handover is considered complete.</w:t>
      </w:r>
    </w:p>
    <w:p>
      <w:pPr>
        <w:pStyle w:val="Heading1"/>
      </w:pPr>
      <w:r>
        <w:t>1. Purpose</w:t>
      </w:r>
    </w:p>
    <w:p>
      <w:r>
        <w:t>Handover should leave the client with a clear understanding of the website, its available access, the agreed operating process, the maintenance arrangement, and the boundaries of the delivered service. It is the transition from project completion to normal website ownership and support.</w:t>
      </w:r>
    </w:p>
    <w:p>
      <w:pPr>
        <w:pStyle w:val="Heading1"/>
      </w:pPr>
      <w:r>
        <w:t>2. Handover Principles</w:t>
      </w:r>
    </w:p>
    <w:p>
      <w:pPr>
        <w:pStyle w:val="ListBullet"/>
      </w:pPr>
      <w:r>
        <w:t>Provide the client with the access and information they are contractually entitled to receive.</w:t>
      </w:r>
    </w:p>
    <w:p>
      <w:pPr>
        <w:pStyle w:val="ListBullet"/>
      </w:pPr>
      <w:r>
        <w:t>Transfer only necessary credentials through a secure channel; never place passwords in ordinary project documents.</w:t>
      </w:r>
    </w:p>
    <w:p>
      <w:pPr>
        <w:pStyle w:val="ListBullet"/>
      </w:pPr>
      <w:r>
        <w:t>Document important project decisions and known limitations rather than assuming the client will remember them.</w:t>
      </w:r>
    </w:p>
    <w:p>
      <w:pPr>
        <w:pStyle w:val="ListBullet"/>
      </w:pPr>
      <w:r>
        <w:t>Keep maintenance responsibilities clear between client and agency.</w:t>
      </w:r>
    </w:p>
    <w:p>
      <w:pPr>
        <w:pStyle w:val="ListBullet"/>
      </w:pPr>
      <w:r>
        <w:t>Do not treat handover as a substitute for acceptance testing; Phase 12 QA and Phase 16 Acceptance remain separate steps.</w:t>
      </w:r>
    </w:p>
    <w:p>
      <w:pPr>
        <w:pStyle w:val="ListBullet"/>
      </w:pPr>
      <w:r>
        <w:t>Keep the final handover package aligned with the actual deployed production environment.</w:t>
      </w:r>
    </w:p>
    <w:p>
      <w:pPr>
        <w:pStyle w:val="Heading1"/>
      </w:pPr>
      <w:r>
        <w:t>3. Handover Package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
              <w:rPr>
                <w:b/>
                <w:color w:val="FFFFFF"/>
                <w:sz w:val="18"/>
              </w:rPr>
              <w:t>Item</w:t>
            </w:r>
          </w:p>
        </w:tc>
        <w:tc>
          <w:tcPr>
            <w:tcW w:type="dxa" w:w="3408"/>
            <w:shd w:fill="17324D"/>
            <w:vAlign w:val="center"/>
          </w:tcPr>
          <w:p>
            <w:r/>
            <w:r>
              <w:rPr>
                <w:b/>
                <w:color w:val="FFFFFF"/>
                <w:sz w:val="18"/>
              </w:rPr>
              <w:t>What is transferred</w:t>
            </w:r>
          </w:p>
        </w:tc>
        <w:tc>
          <w:tcPr>
            <w:tcW w:type="dxa" w:w="3408"/>
            <w:shd w:fill="17324D"/>
            <w:vAlign w:val="center"/>
          </w:tcPr>
          <w:p>
            <w:r/>
            <w:r>
              <w:rPr>
                <w:b/>
                <w:color w:val="FFFFFF"/>
                <w:sz w:val="18"/>
              </w:rPr>
              <w:t>Owner after handover</w:t>
            </w:r>
          </w:p>
        </w:tc>
      </w:tr>
      <w:tr>
        <w:tc>
          <w:tcPr>
            <w:tcW w:type="dxa" w:w="3408"/>
            <w:vAlign w:val="top"/>
          </w:tcPr>
          <w:p>
            <w:r>
              <w:rPr>
                <w:sz w:val="17"/>
              </w:rPr>
              <w:t>Website access</w:t>
            </w:r>
          </w:p>
        </w:tc>
        <w:tc>
          <w:tcPr>
            <w:tcW w:type="dxa" w:w="3408"/>
            <w:vAlign w:val="top"/>
          </w:tcPr>
          <w:p>
            <w:r>
              <w:rPr>
                <w:sz w:val="17"/>
              </w:rPr>
              <w:t>Agreed admin/management access where applicable</w:t>
            </w:r>
          </w:p>
        </w:tc>
        <w:tc>
          <w:tcPr>
            <w:tcW w:type="dxa" w:w="3408"/>
            <w:vAlign w:val="top"/>
          </w:tcPr>
          <w:p>
            <w:r>
              <w:rPr>
                <w:sz w:val="17"/>
              </w:rPr>
              <w:t>Client / Agency by agreement</w:t>
            </w:r>
          </w:p>
        </w:tc>
      </w:tr>
      <w:tr>
        <w:tc>
          <w:tcPr>
            <w:tcW w:type="dxa" w:w="3408"/>
            <w:vAlign w:val="top"/>
          </w:tcPr>
          <w:p>
            <w:r>
              <w:rPr>
                <w:sz w:val="17"/>
              </w:rPr>
              <w:t>Domain access</w:t>
            </w:r>
          </w:p>
        </w:tc>
        <w:tc>
          <w:tcPr>
            <w:tcW w:type="dxa" w:w="3408"/>
            <w:vAlign w:val="top"/>
          </w:tcPr>
          <w:p>
            <w:r>
              <w:rPr>
                <w:sz w:val="17"/>
              </w:rPr>
              <w:t>Domain registrar information or confirmed ownership/access</w:t>
            </w:r>
          </w:p>
        </w:tc>
        <w:tc>
          <w:tcPr>
            <w:tcW w:type="dxa" w:w="3408"/>
            <w:vAlign w:val="top"/>
          </w:tcPr>
          <w:p>
            <w:r>
              <w:rPr>
                <w:sz w:val="17"/>
              </w:rPr>
              <w:t>Client or nominated owner</w:t>
            </w:r>
          </w:p>
        </w:tc>
      </w:tr>
      <w:tr>
        <w:tc>
          <w:tcPr>
            <w:tcW w:type="dxa" w:w="3408"/>
            <w:vAlign w:val="top"/>
          </w:tcPr>
          <w:p>
            <w:r>
              <w:rPr>
                <w:sz w:val="17"/>
              </w:rPr>
              <w:t>Hosting access</w:t>
            </w:r>
          </w:p>
        </w:tc>
        <w:tc>
          <w:tcPr>
            <w:tcW w:type="dxa" w:w="3408"/>
            <w:vAlign w:val="top"/>
          </w:tcPr>
          <w:p>
            <w:r>
              <w:rPr>
                <w:sz w:val="17"/>
              </w:rPr>
              <w:t>Hosting account/access where included and contractually transferable</w:t>
            </w:r>
          </w:p>
        </w:tc>
        <w:tc>
          <w:tcPr>
            <w:tcW w:type="dxa" w:w="3408"/>
            <w:vAlign w:val="top"/>
          </w:tcPr>
          <w:p>
            <w:r>
              <w:rPr>
                <w:sz w:val="17"/>
              </w:rPr>
              <w:t>Client or agency by agreement</w:t>
            </w:r>
          </w:p>
        </w:tc>
      </w:tr>
      <w:tr>
        <w:tc>
          <w:tcPr>
            <w:tcW w:type="dxa" w:w="3408"/>
            <w:vAlign w:val="top"/>
          </w:tcPr>
          <w:p>
            <w:r>
              <w:rPr>
                <w:sz w:val="17"/>
              </w:rPr>
              <w:t>Analytics access</w:t>
            </w:r>
          </w:p>
        </w:tc>
        <w:tc>
          <w:tcPr>
            <w:tcW w:type="dxa" w:w="3408"/>
            <w:vAlign w:val="top"/>
          </w:tcPr>
          <w:p>
            <w:r>
              <w:rPr>
                <w:sz w:val="17"/>
              </w:rPr>
              <w:t>Google Analytics and Search Console access/ownership as agreed</w:t>
            </w:r>
          </w:p>
        </w:tc>
        <w:tc>
          <w:tcPr>
            <w:tcW w:type="dxa" w:w="3408"/>
            <w:vAlign w:val="top"/>
          </w:tcPr>
          <w:p>
            <w:r>
              <w:rPr>
                <w:sz w:val="17"/>
              </w:rPr>
              <w:t>Client / Agency by agreement</w:t>
            </w:r>
          </w:p>
        </w:tc>
      </w:tr>
      <w:tr>
        <w:tc>
          <w:tcPr>
            <w:tcW w:type="dxa" w:w="3408"/>
            <w:vAlign w:val="top"/>
          </w:tcPr>
          <w:p>
            <w:r>
              <w:rPr>
                <w:sz w:val="17"/>
              </w:rPr>
              <w:t>Brand/website assets</w:t>
            </w:r>
          </w:p>
        </w:tc>
        <w:tc>
          <w:tcPr>
            <w:tcW w:type="dxa" w:w="3408"/>
            <w:vAlign w:val="top"/>
          </w:tcPr>
          <w:p>
            <w:r>
              <w:rPr>
                <w:sz w:val="17"/>
              </w:rPr>
              <w:t>Final approved website assets used in delivery</w:t>
            </w:r>
          </w:p>
        </w:tc>
        <w:tc>
          <w:tcPr>
            <w:tcW w:type="dxa" w:w="3408"/>
            <w:vAlign w:val="top"/>
          </w:tcPr>
          <w:p>
            <w:r>
              <w:rPr>
                <w:sz w:val="17"/>
              </w:rPr>
              <w:t>Client / Agency according to ownership</w:t>
            </w:r>
          </w:p>
        </w:tc>
      </w:tr>
      <w:tr>
        <w:tc>
          <w:tcPr>
            <w:tcW w:type="dxa" w:w="3408"/>
            <w:vAlign w:val="top"/>
          </w:tcPr>
          <w:p>
            <w:r>
              <w:rPr>
                <w:sz w:val="17"/>
              </w:rPr>
              <w:t>Project documentation</w:t>
            </w:r>
          </w:p>
        </w:tc>
        <w:tc>
          <w:tcPr>
            <w:tcW w:type="dxa" w:w="3408"/>
            <w:vAlign w:val="top"/>
          </w:tcPr>
          <w:p>
            <w:r>
              <w:rPr>
                <w:sz w:val="17"/>
              </w:rPr>
              <w:t>Agreed specifications, decisions, and operational notes</w:t>
            </w:r>
          </w:p>
        </w:tc>
        <w:tc>
          <w:tcPr>
            <w:tcW w:type="dxa" w:w="3408"/>
            <w:vAlign w:val="top"/>
          </w:tcPr>
          <w:p>
            <w:r>
              <w:rPr>
                <w:sz w:val="17"/>
              </w:rPr>
              <w:t>Shared reference</w:t>
            </w:r>
          </w:p>
        </w:tc>
      </w:tr>
      <w:tr>
        <w:tc>
          <w:tcPr>
            <w:tcW w:type="dxa" w:w="3408"/>
            <w:vAlign w:val="top"/>
          </w:tcPr>
          <w:p>
            <w:r>
              <w:rPr>
                <w:sz w:val="17"/>
              </w:rPr>
              <w:t>Maintenance information</w:t>
            </w:r>
          </w:p>
        </w:tc>
        <w:tc>
          <w:tcPr>
            <w:tcW w:type="dxa" w:w="3408"/>
            <w:vAlign w:val="top"/>
          </w:tcPr>
          <w:p>
            <w:r>
              <w:rPr>
                <w:sz w:val="17"/>
              </w:rPr>
              <w:t>Support process, maintenance scope, contacts, and cadence</w:t>
            </w:r>
          </w:p>
        </w:tc>
        <w:tc>
          <w:tcPr>
            <w:tcW w:type="dxa" w:w="3408"/>
            <w:vAlign w:val="top"/>
          </w:tcPr>
          <w:p>
            <w:r>
              <w:rPr>
                <w:sz w:val="17"/>
              </w:rPr>
              <w:t>Agency if maintenance is retained</w:t>
            </w:r>
          </w:p>
        </w:tc>
      </w:tr>
      <w:tr>
        <w:tc>
          <w:tcPr>
            <w:tcW w:type="dxa" w:w="3408"/>
            <w:vAlign w:val="top"/>
          </w:tcPr>
          <w:p>
            <w:r>
              <w:rPr>
                <w:sz w:val="17"/>
              </w:rPr>
              <w:t>Third-party services</w:t>
            </w:r>
          </w:p>
        </w:tc>
        <w:tc>
          <w:tcPr>
            <w:tcW w:type="dxa" w:w="3408"/>
            <w:vAlign w:val="top"/>
          </w:tcPr>
          <w:p>
            <w:r>
              <w:rPr>
                <w:sz w:val="17"/>
              </w:rPr>
              <w:t>Service list and account ownership relevant to the website</w:t>
            </w:r>
          </w:p>
        </w:tc>
        <w:tc>
          <w:tcPr>
            <w:tcW w:type="dxa" w:w="3408"/>
            <w:vAlign w:val="top"/>
          </w:tcPr>
          <w:p>
            <w:r>
              <w:rPr>
                <w:sz w:val="17"/>
              </w:rPr>
              <w:t>Named account owner</w:t>
            </w:r>
          </w:p>
        </w:tc>
      </w:tr>
    </w:tbl>
    <w:p/>
    <w:p>
      <w:pPr>
        <w:pStyle w:val="Heading1"/>
      </w:pPr>
      <w:r>
        <w:t>4. Access &amp; Credentials</w:t>
      </w:r>
    </w:p>
    <w:p>
      <w:r>
        <w:t>Credentials are transferred only through a secure method agreed by the agency. The handover document should identify which accounts exist and who controls them, without storing sensitive passwords inside the document itself.</w:t>
      </w:r>
    </w:p>
    <w:p>
      <w:pPr>
        <w:pStyle w:val="Heading2"/>
      </w:pPr>
      <w:r>
        <w:t>4.1 Access checklist</w:t>
      </w:r>
    </w:p>
    <w:p>
      <w:pPr>
        <w:pStyle w:val="ListBullet"/>
      </w:pPr>
      <w:r>
        <w:t>Domain / DNS account</w:t>
      </w:r>
    </w:p>
    <w:p>
      <w:pPr>
        <w:pStyle w:val="ListBullet"/>
      </w:pPr>
      <w:r>
        <w:t>Hosting / deployment platform</w:t>
      </w:r>
    </w:p>
    <w:p>
      <w:pPr>
        <w:pStyle w:val="ListBullet"/>
      </w:pPr>
      <w:r>
        <w:t>Analytics platform</w:t>
      </w:r>
    </w:p>
    <w:p>
      <w:pPr>
        <w:pStyle w:val="ListBullet"/>
      </w:pPr>
      <w:r>
        <w:t>Search Console</w:t>
      </w:r>
    </w:p>
    <w:p>
      <w:pPr>
        <w:pStyle w:val="ListBullet"/>
      </w:pPr>
      <w:r>
        <w:t>Email or notification service used by website forms</w:t>
      </w:r>
    </w:p>
    <w:p>
      <w:pPr>
        <w:pStyle w:val="ListBullet"/>
      </w:pPr>
      <w:r>
        <w:t>Third-party integrations included in scope</w:t>
      </w:r>
    </w:p>
    <w:p>
      <w:pPr>
        <w:pStyle w:val="ListBullet"/>
      </w:pPr>
      <w:r>
        <w:t>Repository access where contractually provided</w:t>
      </w:r>
    </w:p>
    <w:p>
      <w:pPr>
        <w:pStyle w:val="ListBullet"/>
      </w:pPr>
      <w:r>
        <w:t>Other agreed service accounts</w:t>
      </w:r>
    </w:p>
    <w:p>
      <w:pPr>
        <w:pStyle w:val="Heading2"/>
      </w:pPr>
      <w:r>
        <w:t>4.2 Credential handling</w:t>
      </w:r>
    </w:p>
    <w:p>
      <w:pPr>
        <w:pStyle w:val="ListBullet"/>
      </w:pPr>
      <w:r>
        <w:t>Passwords should be delivered through a password manager or secure credential-sharing mechanism.</w:t>
      </w:r>
    </w:p>
    <w:p>
      <w:pPr>
        <w:pStyle w:val="ListBullet"/>
      </w:pPr>
      <w:r>
        <w:t>Use unique passwords and enable multi-factor authentication where supported.</w:t>
      </w:r>
    </w:p>
    <w:p>
      <w:pPr>
        <w:pStyle w:val="ListBullet"/>
      </w:pPr>
      <w:r>
        <w:t>Remove temporary project-only credentials after the agreed transition.</w:t>
      </w:r>
    </w:p>
    <w:p>
      <w:pPr>
        <w:pStyle w:val="ListBullet"/>
      </w:pPr>
      <w:r>
        <w:t>Record the account owner and recovery contact, not the password itself.</w:t>
      </w:r>
    </w:p>
    <w:p>
      <w:pPr>
        <w:pStyle w:val="Heading1"/>
      </w:pPr>
      <w:r>
        <w:t>5. Documentation Handover</w:t>
      </w:r>
    </w:p>
    <w:p>
      <w:r>
        <w:t>The client should receive the appropriate final documentation for the project. Not every project requires every document; only relevant final artifacts should be transferred.</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
              <w:rPr>
                <w:b/>
                <w:color w:val="FFFFFF"/>
                <w:sz w:val="18"/>
              </w:rPr>
              <w:t>Document</w:t>
            </w:r>
          </w:p>
        </w:tc>
        <w:tc>
          <w:tcPr>
            <w:tcW w:type="dxa" w:w="5112"/>
            <w:shd w:fill="17324D"/>
            <w:vAlign w:val="center"/>
          </w:tcPr>
          <w:p>
            <w:r/>
            <w:r>
              <w:rPr>
                <w:b/>
                <w:color w:val="FFFFFF"/>
                <w:sz w:val="18"/>
              </w:rPr>
              <w:t>Purpose</w:t>
            </w:r>
          </w:p>
        </w:tc>
      </w:tr>
      <w:tr>
        <w:tc>
          <w:tcPr>
            <w:tcW w:type="dxa" w:w="5112"/>
            <w:vAlign w:val="top"/>
          </w:tcPr>
          <w:p>
            <w:r>
              <w:rPr>
                <w:sz w:val="17"/>
              </w:rPr>
              <w:t>Final website specification</w:t>
            </w:r>
          </w:p>
        </w:tc>
        <w:tc>
          <w:tcPr>
            <w:tcW w:type="dxa" w:w="5112"/>
            <w:vAlign w:val="top"/>
          </w:tcPr>
          <w:p>
            <w:r>
              <w:rPr>
                <w:sz w:val="17"/>
              </w:rPr>
              <w:t>Reference for delivered scope and page structure</w:t>
            </w:r>
          </w:p>
        </w:tc>
      </w:tr>
      <w:tr>
        <w:tc>
          <w:tcPr>
            <w:tcW w:type="dxa" w:w="5112"/>
            <w:vAlign w:val="top"/>
          </w:tcPr>
          <w:p>
            <w:r>
              <w:rPr>
                <w:sz w:val="17"/>
              </w:rPr>
              <w:t>Design reference/manual where included</w:t>
            </w:r>
          </w:p>
        </w:tc>
        <w:tc>
          <w:tcPr>
            <w:tcW w:type="dxa" w:w="5112"/>
            <w:vAlign w:val="top"/>
          </w:tcPr>
          <w:p>
            <w:r>
              <w:rPr>
                <w:sz w:val="17"/>
              </w:rPr>
              <w:t>Explains the approved visual system and reusable design decisions</w:t>
            </w:r>
          </w:p>
        </w:tc>
      </w:tr>
      <w:tr>
        <w:tc>
          <w:tcPr>
            <w:tcW w:type="dxa" w:w="5112"/>
            <w:vAlign w:val="top"/>
          </w:tcPr>
          <w:p>
            <w:r>
              <w:rPr>
                <w:sz w:val="17"/>
              </w:rPr>
              <w:t>Content/asset register</w:t>
            </w:r>
          </w:p>
        </w:tc>
        <w:tc>
          <w:tcPr>
            <w:tcW w:type="dxa" w:w="5112"/>
            <w:vAlign w:val="top"/>
          </w:tcPr>
          <w:p>
            <w:r>
              <w:rPr>
                <w:sz w:val="17"/>
              </w:rPr>
              <w:t>Identifies final supplied and approved content/assets</w:t>
            </w:r>
          </w:p>
        </w:tc>
      </w:tr>
      <w:tr>
        <w:tc>
          <w:tcPr>
            <w:tcW w:type="dxa" w:w="5112"/>
            <w:vAlign w:val="top"/>
          </w:tcPr>
          <w:p>
            <w:r>
              <w:rPr>
                <w:sz w:val="17"/>
              </w:rPr>
              <w:t>Deployment record</w:t>
            </w:r>
          </w:p>
        </w:tc>
        <w:tc>
          <w:tcPr>
            <w:tcW w:type="dxa" w:w="5112"/>
            <w:vAlign w:val="top"/>
          </w:tcPr>
          <w:p>
            <w:r>
              <w:rPr>
                <w:sz w:val="17"/>
              </w:rPr>
              <w:t>Records production environment, domain, SSL, and release information</w:t>
            </w:r>
          </w:p>
        </w:tc>
      </w:tr>
      <w:tr>
        <w:tc>
          <w:tcPr>
            <w:tcW w:type="dxa" w:w="5112"/>
            <w:vAlign w:val="top"/>
          </w:tcPr>
          <w:p>
            <w:r>
              <w:rPr>
                <w:sz w:val="17"/>
              </w:rPr>
              <w:t>Analytics reference</w:t>
            </w:r>
          </w:p>
        </w:tc>
        <w:tc>
          <w:tcPr>
            <w:tcW w:type="dxa" w:w="5112"/>
            <w:vAlign w:val="top"/>
          </w:tcPr>
          <w:p>
            <w:r>
              <w:rPr>
                <w:sz w:val="17"/>
              </w:rPr>
              <w:t>Identifies implemented measurement and key tracked actions</w:t>
            </w:r>
          </w:p>
        </w:tc>
      </w:tr>
      <w:tr>
        <w:tc>
          <w:tcPr>
            <w:tcW w:type="dxa" w:w="5112"/>
            <w:vAlign w:val="top"/>
          </w:tcPr>
          <w:p>
            <w:r>
              <w:rPr>
                <w:sz w:val="17"/>
              </w:rPr>
              <w:t>Maintenance agreement/reference</w:t>
            </w:r>
          </w:p>
        </w:tc>
        <w:tc>
          <w:tcPr>
            <w:tcW w:type="dxa" w:w="5112"/>
            <w:vAlign w:val="top"/>
          </w:tcPr>
          <w:p>
            <w:r>
              <w:rPr>
                <w:sz w:val="17"/>
              </w:rPr>
              <w:t>Defines ongoing support scope and responsibilities</w:t>
            </w:r>
          </w:p>
        </w:tc>
      </w:tr>
      <w:tr>
        <w:tc>
          <w:tcPr>
            <w:tcW w:type="dxa" w:w="5112"/>
            <w:vAlign w:val="top"/>
          </w:tcPr>
          <w:p>
            <w:r>
              <w:rPr>
                <w:sz w:val="17"/>
              </w:rPr>
              <w:t>Known limitations / notes</w:t>
            </w:r>
          </w:p>
        </w:tc>
        <w:tc>
          <w:tcPr>
            <w:tcW w:type="dxa" w:w="5112"/>
            <w:vAlign w:val="top"/>
          </w:tcPr>
          <w:p>
            <w:r>
              <w:rPr>
                <w:sz w:val="17"/>
              </w:rPr>
              <w:t>Records agreed exclusions, pending items, or operational constraints</w:t>
            </w:r>
          </w:p>
        </w:tc>
      </w:tr>
    </w:tbl>
    <w:p/>
    <w:p>
      <w:pPr>
        <w:pStyle w:val="Heading1"/>
      </w:pPr>
      <w:r>
        <w:t>6. Client Training</w:t>
      </w:r>
    </w:p>
    <w:p>
      <w:r>
        <w:t>Training is based on the actual delivered website and the agreed maintenance model.</w:t>
      </w:r>
    </w:p>
    <w:p>
      <w:pPr>
        <w:pStyle w:val="ListBullet"/>
      </w:pPr>
      <w:r>
        <w:t>Website walkthrough and major page/section explanation.</w:t>
      </w:r>
    </w:p>
    <w:p>
      <w:pPr>
        <w:pStyle w:val="ListBullet"/>
      </w:pPr>
      <w:r>
        <w:t>How content updates are requested or handled through the agency maintenance service.</w:t>
      </w:r>
    </w:p>
    <w:p>
      <w:pPr>
        <w:pStyle w:val="ListBullet"/>
      </w:pPr>
      <w:r>
        <w:t>How to identify website issues and report them.</w:t>
      </w:r>
    </w:p>
    <w:p>
      <w:pPr>
        <w:pStyle w:val="ListBullet"/>
      </w:pPr>
      <w:r>
        <w:t>Basic explanation of analytics and important tracked actions.</w:t>
      </w:r>
    </w:p>
    <w:p>
      <w:pPr>
        <w:pStyle w:val="ListBullet"/>
      </w:pPr>
      <w:r>
        <w:t>Basic lead-management expectations for form/WhatsApp/contact inquiries where applicable.</w:t>
      </w:r>
    </w:p>
    <w:p>
      <w:pPr>
        <w:pStyle w:val="ListBullet"/>
      </w:pPr>
      <w:r>
        <w:t>Explanation of what is and is not included in routine maintenance.</w:t>
      </w:r>
    </w:p>
    <w:p>
      <w:pPr>
        <w:pStyle w:val="Heading1"/>
      </w:pPr>
      <w:r>
        <w:t>7. Maintenance Transition</w:t>
      </w:r>
    </w:p>
    <w:p>
      <w:r>
        <w:t>If the client subscribes to maintenance, the handover should end with an explicit transition into the maintenance process rather than leaving support arrangements informal.</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
              <w:rPr>
                <w:b/>
                <w:color w:val="FFFFFF"/>
                <w:sz w:val="18"/>
              </w:rPr>
              <w:t>Transition item</w:t>
            </w:r>
          </w:p>
        </w:tc>
        <w:tc>
          <w:tcPr>
            <w:tcW w:type="dxa" w:w="5112"/>
            <w:shd w:fill="17324D"/>
            <w:vAlign w:val="center"/>
          </w:tcPr>
          <w:p>
            <w:r/>
            <w:r>
              <w:rPr>
                <w:b/>
                <w:color w:val="FFFFFF"/>
                <w:sz w:val="18"/>
              </w:rPr>
              <w:t>Required outcome</w:t>
            </w:r>
          </w:p>
        </w:tc>
      </w:tr>
      <w:tr>
        <w:tc>
          <w:tcPr>
            <w:tcW w:type="dxa" w:w="5112"/>
            <w:vAlign w:val="top"/>
          </w:tcPr>
          <w:p>
            <w:r>
              <w:rPr>
                <w:sz w:val="17"/>
              </w:rPr>
              <w:t>Support contact</w:t>
            </w:r>
          </w:p>
        </w:tc>
        <w:tc>
          <w:tcPr>
            <w:tcW w:type="dxa" w:w="5112"/>
            <w:vAlign w:val="top"/>
          </w:tcPr>
          <w:p>
            <w:r>
              <w:rPr>
                <w:sz w:val="17"/>
              </w:rPr>
              <w:t>Client knows where and how to report issues</w:t>
            </w:r>
          </w:p>
        </w:tc>
      </w:tr>
      <w:tr>
        <w:tc>
          <w:tcPr>
            <w:tcW w:type="dxa" w:w="5112"/>
            <w:vAlign w:val="top"/>
          </w:tcPr>
          <w:p>
            <w:r>
              <w:rPr>
                <w:sz w:val="17"/>
              </w:rPr>
              <w:t>Response expectations</w:t>
            </w:r>
          </w:p>
        </w:tc>
        <w:tc>
          <w:tcPr>
            <w:tcW w:type="dxa" w:w="5112"/>
            <w:vAlign w:val="top"/>
          </w:tcPr>
          <w:p>
            <w:r>
              <w:rPr>
                <w:sz w:val="17"/>
              </w:rPr>
              <w:t>Agreed support level/cadence is understood</w:t>
            </w:r>
          </w:p>
        </w:tc>
      </w:tr>
      <w:tr>
        <w:tc>
          <w:tcPr>
            <w:tcW w:type="dxa" w:w="5112"/>
            <w:vAlign w:val="top"/>
          </w:tcPr>
          <w:p>
            <w:r>
              <w:rPr>
                <w:sz w:val="17"/>
              </w:rPr>
              <w:t>Content request process</w:t>
            </w:r>
          </w:p>
        </w:tc>
        <w:tc>
          <w:tcPr>
            <w:tcW w:type="dxa" w:w="5112"/>
            <w:vAlign w:val="top"/>
          </w:tcPr>
          <w:p>
            <w:r>
              <w:rPr>
                <w:sz w:val="17"/>
              </w:rPr>
              <w:t>Client knows how updates are submitted and approved</w:t>
            </w:r>
          </w:p>
        </w:tc>
      </w:tr>
      <w:tr>
        <w:tc>
          <w:tcPr>
            <w:tcW w:type="dxa" w:w="5112"/>
            <w:vAlign w:val="top"/>
          </w:tcPr>
          <w:p>
            <w:r>
              <w:rPr>
                <w:sz w:val="17"/>
              </w:rPr>
              <w:t>Monitoring</w:t>
            </w:r>
          </w:p>
        </w:tc>
        <w:tc>
          <w:tcPr>
            <w:tcW w:type="dxa" w:w="5112"/>
            <w:vAlign w:val="top"/>
          </w:tcPr>
          <w:p>
            <w:r>
              <w:rPr>
                <w:sz w:val="17"/>
              </w:rPr>
              <w:t>Relevant monitoring and backup responsibilities are assigned</w:t>
            </w:r>
          </w:p>
        </w:tc>
      </w:tr>
      <w:tr>
        <w:tc>
          <w:tcPr>
            <w:tcW w:type="dxa" w:w="5112"/>
            <w:vAlign w:val="top"/>
          </w:tcPr>
          <w:p>
            <w:r>
              <w:rPr>
                <w:sz w:val="17"/>
              </w:rPr>
              <w:t>Renewals</w:t>
            </w:r>
          </w:p>
        </w:tc>
        <w:tc>
          <w:tcPr>
            <w:tcW w:type="dxa" w:w="5112"/>
            <w:vAlign w:val="top"/>
          </w:tcPr>
          <w:p>
            <w:r>
              <w:rPr>
                <w:sz w:val="17"/>
              </w:rPr>
              <w:t>Domain, hosting, licenses, and third-party renewal responsibility is known</w:t>
            </w:r>
          </w:p>
        </w:tc>
      </w:tr>
      <w:tr>
        <w:tc>
          <w:tcPr>
            <w:tcW w:type="dxa" w:w="5112"/>
            <w:vAlign w:val="top"/>
          </w:tcPr>
          <w:p>
            <w:r>
              <w:rPr>
                <w:sz w:val="17"/>
              </w:rPr>
              <w:t>Change control</w:t>
            </w:r>
          </w:p>
        </w:tc>
        <w:tc>
          <w:tcPr>
            <w:tcW w:type="dxa" w:w="5112"/>
            <w:vAlign w:val="top"/>
          </w:tcPr>
          <w:p>
            <w:r>
              <w:rPr>
                <w:sz w:val="17"/>
              </w:rPr>
              <w:t>Larger changes are distinguished from routine maintenance</w:t>
            </w:r>
          </w:p>
        </w:tc>
      </w:tr>
    </w:tbl>
    <w:p/>
    <w:p>
      <w:pPr>
        <w:pStyle w:val="Heading1"/>
      </w:pPr>
      <w:r>
        <w:t>8. Ownership &amp; Responsibility</w:t>
      </w:r>
    </w:p>
    <w:p>
      <w:r>
        <w:t>Ownership follows the signed agreement. The handover process must make responsibility explicit so that access transfer does not create ambiguity.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vAlign w:val="center"/>
          </w:tcPr>
          <w:p>
            <w:r/>
            <w:r>
              <w:rPr>
                <w:b/>
                <w:color w:val="FFFFFF"/>
                <w:sz w:val="18"/>
              </w:rPr>
              <w:t>Area</w:t>
            </w:r>
          </w:p>
        </w:tc>
        <w:tc>
          <w:tcPr>
            <w:tcW w:type="dxa" w:w="3408"/>
            <w:shd w:fill="17324D"/>
            <w:vAlign w:val="center"/>
          </w:tcPr>
          <w:p>
            <w:r/>
            <w:r>
              <w:rPr>
                <w:b/>
                <w:color w:val="FFFFFF"/>
                <w:sz w:val="18"/>
              </w:rPr>
              <w:t>Typical client responsibility</w:t>
            </w:r>
          </w:p>
        </w:tc>
        <w:tc>
          <w:tcPr>
            <w:tcW w:type="dxa" w:w="3408"/>
            <w:shd w:fill="17324D"/>
            <w:vAlign w:val="center"/>
          </w:tcPr>
          <w:p>
            <w:r/>
            <w:r>
              <w:rPr>
                <w:b/>
                <w:color w:val="FFFFFF"/>
                <w:sz w:val="18"/>
              </w:rPr>
              <w:t>Typical agency responsibility</w:t>
            </w:r>
          </w:p>
        </w:tc>
      </w:tr>
      <w:tr>
        <w:tc>
          <w:tcPr>
            <w:tcW w:type="dxa" w:w="3408"/>
            <w:vAlign w:val="top"/>
          </w:tcPr>
          <w:p>
            <w:r>
              <w:rPr>
                <w:sz w:val="17"/>
              </w:rPr>
              <w:t>Business content</w:t>
            </w:r>
          </w:p>
        </w:tc>
        <w:tc>
          <w:tcPr>
            <w:tcW w:type="dxa" w:w="3408"/>
            <w:vAlign w:val="top"/>
          </w:tcPr>
          <w:p>
            <w:r>
              <w:rPr>
                <w:sz w:val="17"/>
              </w:rPr>
              <w:t>Accuracy, approval, legal/compliance approval</w:t>
            </w:r>
          </w:p>
        </w:tc>
        <w:tc>
          <w:tcPr>
            <w:tcW w:type="dxa" w:w="3408"/>
            <w:vAlign w:val="top"/>
          </w:tcPr>
          <w:p>
            <w:r>
              <w:rPr>
                <w:sz w:val="17"/>
              </w:rPr>
              <w:t>Implementation of agreed updates</w:t>
            </w:r>
          </w:p>
        </w:tc>
      </w:tr>
      <w:tr>
        <w:tc>
          <w:tcPr>
            <w:tcW w:type="dxa" w:w="3408"/>
            <w:vAlign w:val="top"/>
          </w:tcPr>
          <w:p>
            <w:r>
              <w:rPr>
                <w:sz w:val="17"/>
              </w:rPr>
              <w:t>Brand assets</w:t>
            </w:r>
          </w:p>
        </w:tc>
        <w:tc>
          <w:tcPr>
            <w:tcW w:type="dxa" w:w="3408"/>
            <w:vAlign w:val="top"/>
          </w:tcPr>
          <w:p>
            <w:r>
              <w:rPr>
                <w:sz w:val="17"/>
              </w:rPr>
              <w:t>Ownership and usage rights supplied by client</w:t>
            </w:r>
          </w:p>
        </w:tc>
        <w:tc>
          <w:tcPr>
            <w:tcW w:type="dxa" w:w="3408"/>
            <w:vAlign w:val="top"/>
          </w:tcPr>
          <w:p>
            <w:r>
              <w:rPr>
                <w:sz w:val="17"/>
              </w:rPr>
              <w:t>Correct implementation</w:t>
            </w:r>
          </w:p>
        </w:tc>
      </w:tr>
      <w:tr>
        <w:tc>
          <w:tcPr>
            <w:tcW w:type="dxa" w:w="3408"/>
            <w:vAlign w:val="top"/>
          </w:tcPr>
          <w:p>
            <w:r>
              <w:rPr>
                <w:sz w:val="17"/>
              </w:rPr>
              <w:t>Website code</w:t>
            </w:r>
          </w:p>
        </w:tc>
        <w:tc>
          <w:tcPr>
            <w:tcW w:type="dxa" w:w="3408"/>
            <w:vAlign w:val="top"/>
          </w:tcPr>
          <w:p>
            <w:r>
              <w:rPr>
                <w:sz w:val="17"/>
              </w:rPr>
              <w:t>As agreed by contract</w:t>
            </w:r>
          </w:p>
        </w:tc>
        <w:tc>
          <w:tcPr>
            <w:tcW w:type="dxa" w:w="3408"/>
            <w:vAlign w:val="top"/>
          </w:tcPr>
          <w:p>
            <w:r>
              <w:rPr>
                <w:sz w:val="17"/>
              </w:rPr>
              <w:t>Maintenance and technical changes where retained</w:t>
            </w:r>
          </w:p>
        </w:tc>
      </w:tr>
      <w:tr>
        <w:tc>
          <w:tcPr>
            <w:tcW w:type="dxa" w:w="3408"/>
            <w:vAlign w:val="top"/>
          </w:tcPr>
          <w:p>
            <w:r>
              <w:rPr>
                <w:sz w:val="17"/>
              </w:rPr>
              <w:t>Domain</w:t>
            </w:r>
          </w:p>
        </w:tc>
        <w:tc>
          <w:tcPr>
            <w:tcW w:type="dxa" w:w="3408"/>
            <w:vAlign w:val="top"/>
          </w:tcPr>
          <w:p>
            <w:r>
              <w:rPr>
                <w:sz w:val="17"/>
              </w:rPr>
              <w:t>Renewal/ownership if client-owned</w:t>
            </w:r>
          </w:p>
        </w:tc>
        <w:tc>
          <w:tcPr>
            <w:tcW w:type="dxa" w:w="3408"/>
            <w:vAlign w:val="top"/>
          </w:tcPr>
          <w:p>
            <w:r>
              <w:rPr>
                <w:sz w:val="17"/>
              </w:rPr>
              <w:t>Configuration/support where included</w:t>
            </w:r>
          </w:p>
        </w:tc>
      </w:tr>
      <w:tr>
        <w:tc>
          <w:tcPr>
            <w:tcW w:type="dxa" w:w="3408"/>
            <w:vAlign w:val="top"/>
          </w:tcPr>
          <w:p>
            <w:r>
              <w:rPr>
                <w:sz w:val="17"/>
              </w:rPr>
              <w:t>Hosting</w:t>
            </w:r>
          </w:p>
        </w:tc>
        <w:tc>
          <w:tcPr>
            <w:tcW w:type="dxa" w:w="3408"/>
            <w:vAlign w:val="top"/>
          </w:tcPr>
          <w:p>
            <w:r>
              <w:rPr>
                <w:sz w:val="17"/>
              </w:rPr>
              <w:t>Payment/ownership if client-owned</w:t>
            </w:r>
          </w:p>
        </w:tc>
        <w:tc>
          <w:tcPr>
            <w:tcW w:type="dxa" w:w="3408"/>
            <w:vAlign w:val="top"/>
          </w:tcPr>
          <w:p>
            <w:r>
              <w:rPr>
                <w:sz w:val="17"/>
              </w:rPr>
              <w:t>Deployment/support where included</w:t>
            </w:r>
          </w:p>
        </w:tc>
      </w:tr>
      <w:tr>
        <w:tc>
          <w:tcPr>
            <w:tcW w:type="dxa" w:w="3408"/>
            <w:vAlign w:val="top"/>
          </w:tcPr>
          <w:p>
            <w:r>
              <w:rPr>
                <w:sz w:val="17"/>
              </w:rPr>
              <w:t>Analytics data</w:t>
            </w:r>
          </w:p>
        </w:tc>
        <w:tc>
          <w:tcPr>
            <w:tcW w:type="dxa" w:w="3408"/>
            <w:vAlign w:val="top"/>
          </w:tcPr>
          <w:p>
            <w:r>
              <w:rPr>
                <w:sz w:val="17"/>
              </w:rPr>
              <w:t>Business interpretation/usage</w:t>
            </w:r>
          </w:p>
        </w:tc>
        <w:tc>
          <w:tcPr>
            <w:tcW w:type="dxa" w:w="3408"/>
            <w:vAlign w:val="top"/>
          </w:tcPr>
          <w:p>
            <w:r>
              <w:rPr>
                <w:sz w:val="17"/>
              </w:rPr>
              <w:t>Implementation/technical support where included</w:t>
            </w:r>
          </w:p>
        </w:tc>
      </w:tr>
    </w:tbl>
    <w:p/>
    <w:p>
      <w:pPr>
        <w:pStyle w:val="Heading1"/>
      </w:pPr>
      <w:r>
        <w:t>9. Final Handover Meeting</w:t>
      </w:r>
    </w:p>
    <w:p>
      <w:r>
        <w:t>A short handover session should confirm the delivered website and operational responsibilities.</w:t>
      </w:r>
    </w:p>
    <w:p>
      <w:pPr>
        <w:pStyle w:val="ListBullet"/>
      </w:pPr>
      <w:r>
        <w:t>Review the production website.</w:t>
      </w:r>
    </w:p>
    <w:p>
      <w:pPr>
        <w:pStyle w:val="ListBullet"/>
      </w:pPr>
      <w:r>
        <w:t>Confirm major pages and functionality.</w:t>
      </w:r>
    </w:p>
    <w:p>
      <w:pPr>
        <w:pStyle w:val="ListBullet"/>
      </w:pPr>
      <w:r>
        <w:t>Confirm access transfer status.</w:t>
      </w:r>
    </w:p>
    <w:p>
      <w:pPr>
        <w:pStyle w:val="ListBullet"/>
      </w:pPr>
      <w:r>
        <w:t>Review maintenance and support process.</w:t>
      </w:r>
    </w:p>
    <w:p>
      <w:pPr>
        <w:pStyle w:val="ListBullet"/>
      </w:pPr>
      <w:r>
        <w:t>Review known limitations or exclusions.</w:t>
      </w:r>
    </w:p>
    <w:p>
      <w:pPr>
        <w:pStyle w:val="ListBullet"/>
      </w:pPr>
      <w:r>
        <w:t>Confirm client questions have been addressed.</w:t>
      </w:r>
    </w:p>
    <w:p>
      <w:pPr>
        <w:pStyle w:val="ListBullet"/>
      </w:pPr>
      <w:r>
        <w:t>Record outstanding minor items, if any, with an agreed owner and deadline.</w:t>
      </w:r>
    </w:p>
    <w:p>
      <w:pPr>
        <w:pStyle w:val="Heading1"/>
      </w:pPr>
      <w:r>
        <w:t>10. Handover Completion Criteria</w:t>
      </w:r>
    </w:p>
    <w:p>
      <w:r>
        <w:t>Handover is complete when:</w:t>
      </w:r>
    </w:p>
    <w:p>
      <w:pPr>
        <w:pStyle w:val="ListBullet"/>
      </w:pPr>
      <w:r>
        <w:t>The production website is accessible to the client or agreed operational owner.</w:t>
      </w:r>
    </w:p>
    <w:p>
      <w:pPr>
        <w:pStyle w:val="ListBullet"/>
      </w:pPr>
      <w:r>
        <w:t>Required access has been transferred or ownership responsibilities are explicitly documented.</w:t>
      </w:r>
    </w:p>
    <w:p>
      <w:pPr>
        <w:pStyle w:val="ListBullet"/>
      </w:pPr>
      <w:r>
        <w:t>Relevant final documentation has been delivered.</w:t>
      </w:r>
    </w:p>
    <w:p>
      <w:pPr>
        <w:pStyle w:val="ListBullet"/>
      </w:pPr>
      <w:r>
        <w:t>Client training/walkthrough has been completed where included.</w:t>
      </w:r>
    </w:p>
    <w:p>
      <w:pPr>
        <w:pStyle w:val="ListBullet"/>
      </w:pPr>
      <w:r>
        <w:t>Maintenance/support responsibilities are confirmed.</w:t>
      </w:r>
    </w:p>
    <w:p>
      <w:pPr>
        <w:pStyle w:val="ListBullet"/>
      </w:pPr>
      <w:r>
        <w:t>Known limitations and outstanding items are recorded.</w:t>
      </w:r>
    </w:p>
    <w:p>
      <w:pPr>
        <w:pStyle w:val="ListBullet"/>
      </w:pPr>
      <w:r>
        <w:t>The client acknowledges receipt of the handover package.</w:t>
      </w:r>
    </w:p>
    <w:p>
      <w:pPr>
        <w:pStyle w:val="Heading1"/>
      </w:pPr>
      <w:r>
        <w:t>11. Handover vs Acceptance</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
              <w:rPr>
                <w:b/>
                <w:color w:val="FFFFFF"/>
                <w:sz w:val="18"/>
              </w:rPr>
              <w:t>Handover</w:t>
            </w:r>
          </w:p>
        </w:tc>
        <w:tc>
          <w:tcPr>
            <w:tcW w:type="dxa" w:w="5112"/>
            <w:shd w:fill="17324D"/>
            <w:vAlign w:val="center"/>
          </w:tcPr>
          <w:p>
            <w:r/>
            <w:r>
              <w:rPr>
                <w:b/>
                <w:color w:val="FFFFFF"/>
                <w:sz w:val="18"/>
              </w:rPr>
              <w:t>Acceptance</w:t>
            </w:r>
          </w:p>
        </w:tc>
      </w:tr>
      <w:tr>
        <w:tc>
          <w:tcPr>
            <w:tcW w:type="dxa" w:w="5112"/>
            <w:vAlign w:val="top"/>
          </w:tcPr>
          <w:p>
            <w:r>
              <w:rPr>
                <w:sz w:val="17"/>
              </w:rPr>
              <w:t>Transfers operational knowledge and agreed access</w:t>
            </w:r>
          </w:p>
        </w:tc>
        <w:tc>
          <w:tcPr>
            <w:tcW w:type="dxa" w:w="5112"/>
            <w:vAlign w:val="top"/>
          </w:tcPr>
          <w:p>
            <w:r>
              <w:rPr>
                <w:sz w:val="17"/>
              </w:rPr>
              <w:t>Confirms the project meets the agreed acceptance criteria</w:t>
            </w:r>
          </w:p>
        </w:tc>
      </w:tr>
      <w:tr>
        <w:tc>
          <w:tcPr>
            <w:tcW w:type="dxa" w:w="5112"/>
            <w:vAlign w:val="top"/>
          </w:tcPr>
          <w:p>
            <w:r>
              <w:rPr>
                <w:sz w:val="17"/>
              </w:rPr>
              <w:t>Explains how the website will be managed</w:t>
            </w:r>
          </w:p>
        </w:tc>
        <w:tc>
          <w:tcPr>
            <w:tcW w:type="dxa" w:w="5112"/>
            <w:vAlign w:val="top"/>
          </w:tcPr>
          <w:p>
            <w:r>
              <w:rPr>
                <w:sz w:val="17"/>
              </w:rPr>
              <w:t>Confirms deliverables are complete</w:t>
            </w:r>
          </w:p>
        </w:tc>
      </w:tr>
      <w:tr>
        <w:tc>
          <w:tcPr>
            <w:tcW w:type="dxa" w:w="5112"/>
            <w:vAlign w:val="top"/>
          </w:tcPr>
          <w:p>
            <w:r>
              <w:rPr>
                <w:sz w:val="17"/>
              </w:rPr>
              <w:t>Transitions into maintenance/support</w:t>
            </w:r>
          </w:p>
        </w:tc>
        <w:tc>
          <w:tcPr>
            <w:tcW w:type="dxa" w:w="5112"/>
            <w:vAlign w:val="top"/>
          </w:tcPr>
          <w:p>
            <w:r>
              <w:rPr>
                <w:sz w:val="17"/>
              </w:rPr>
              <w:t>Closes the delivery phase</w:t>
            </w:r>
          </w:p>
        </w:tc>
      </w:tr>
      <w:tr>
        <w:tc>
          <w:tcPr>
            <w:tcW w:type="dxa" w:w="5112"/>
            <w:vAlign w:val="top"/>
          </w:tcPr>
          <w:p>
            <w:r>
              <w:rPr>
                <w:sz w:val="17"/>
              </w:rPr>
              <w:t>May occur after final QA and before formal sign-off depending on contract</w:t>
            </w:r>
          </w:p>
        </w:tc>
        <w:tc>
          <w:tcPr>
            <w:tcW w:type="dxa" w:w="5112"/>
            <w:vAlign w:val="top"/>
          </w:tcPr>
          <w:p>
            <w:r>
              <w:rPr>
                <w:sz w:val="17"/>
              </w:rPr>
              <w:t>Requires the client’s final approval/sign-off</w:t>
            </w:r>
          </w:p>
        </w:tc>
      </w:tr>
    </w:tbl>
    <w:p/>
    <w:p>
      <w:r>
        <w:t>Handover should not be used to hide unresolved delivery defects. Any acceptance-blocking defects identified during QA must be resolved or formally agreed before final acceptance.</w:t>
      </w:r>
    </w:p>
    <w:p>
      <w:pPr>
        <w:pStyle w:val="Heading1"/>
      </w:pPr>
      <w:r>
        <w:t>12. Post-Handover Support Window</w:t>
      </w:r>
    </w:p>
    <w:p>
      <w:r>
        <w:t>Where the agreement includes a post-launch support or stabilization period, its duration and scope should be explicitly stated in the quotation or maintenance agreement. Typical stabilization work covers defects related to the delivered scope, not new features or unapproved redesigns.</w:t>
      </w:r>
    </w:p>
    <w:p>
      <w:pPr>
        <w:pStyle w:val="Heading1"/>
      </w:pPr>
      <w:r>
        <w:t>13. Handover Record</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r/>
            <w:r>
              <w:rPr>
                <w:b/>
                <w:color w:val="FFFFFF"/>
                <w:sz w:val="18"/>
              </w:rPr>
              <w:t>Record field</w:t>
            </w:r>
          </w:p>
        </w:tc>
        <w:tc>
          <w:tcPr>
            <w:tcW w:type="dxa" w:w="5112"/>
            <w:shd w:fill="17324D"/>
            <w:vAlign w:val="center"/>
          </w:tcPr>
          <w:p>
            <w:r/>
            <w:r>
              <w:rPr>
                <w:b/>
                <w:color w:val="FFFFFF"/>
                <w:sz w:val="18"/>
              </w:rPr>
              <w:t>Example content</w:t>
            </w:r>
          </w:p>
        </w:tc>
      </w:tr>
      <w:tr>
        <w:tc>
          <w:tcPr>
            <w:tcW w:type="dxa" w:w="5112"/>
            <w:vAlign w:val="top"/>
          </w:tcPr>
          <w:p>
            <w:r>
              <w:rPr>
                <w:sz w:val="17"/>
              </w:rPr>
              <w:t>Project</w:t>
            </w:r>
          </w:p>
        </w:tc>
        <w:tc>
          <w:tcPr>
            <w:tcW w:type="dxa" w:w="5112"/>
            <w:vAlign w:val="top"/>
          </w:tcPr>
          <w:p>
            <w:r>
              <w:rPr>
                <w:sz w:val="17"/>
              </w:rPr>
              <w:t>Professional Presence website</w:t>
            </w:r>
          </w:p>
        </w:tc>
      </w:tr>
      <w:tr>
        <w:tc>
          <w:tcPr>
            <w:tcW w:type="dxa" w:w="5112"/>
            <w:vAlign w:val="top"/>
          </w:tcPr>
          <w:p>
            <w:r>
              <w:rPr>
                <w:sz w:val="17"/>
              </w:rPr>
              <w:t>Production URL</w:t>
            </w:r>
          </w:p>
        </w:tc>
        <w:tc>
          <w:tcPr>
            <w:tcW w:type="dxa" w:w="5112"/>
            <w:vAlign w:val="top"/>
          </w:tcPr>
          <w:p>
            <w:r>
              <w:rPr>
                <w:sz w:val="17"/>
              </w:rPr>
              <w:t>[Client production domain]</w:t>
            </w:r>
          </w:p>
        </w:tc>
      </w:tr>
      <w:tr>
        <w:tc>
          <w:tcPr>
            <w:tcW w:type="dxa" w:w="5112"/>
            <w:vAlign w:val="top"/>
          </w:tcPr>
          <w:p>
            <w:r>
              <w:rPr>
                <w:sz w:val="17"/>
              </w:rPr>
              <w:t>Launch date</w:t>
            </w:r>
          </w:p>
        </w:tc>
        <w:tc>
          <w:tcPr>
            <w:tcW w:type="dxa" w:w="5112"/>
            <w:vAlign w:val="top"/>
          </w:tcPr>
          <w:p>
            <w:r>
              <w:rPr>
                <w:sz w:val="17"/>
              </w:rPr>
              <w:t>[Date]</w:t>
            </w:r>
          </w:p>
        </w:tc>
      </w:tr>
      <w:tr>
        <w:tc>
          <w:tcPr>
            <w:tcW w:type="dxa" w:w="5112"/>
            <w:vAlign w:val="top"/>
          </w:tcPr>
          <w:p>
            <w:r>
              <w:rPr>
                <w:sz w:val="17"/>
              </w:rPr>
              <w:t>Handover date</w:t>
            </w:r>
          </w:p>
        </w:tc>
        <w:tc>
          <w:tcPr>
            <w:tcW w:type="dxa" w:w="5112"/>
            <w:vAlign w:val="top"/>
          </w:tcPr>
          <w:p>
            <w:r>
              <w:rPr>
                <w:sz w:val="17"/>
              </w:rPr>
              <w:t>[Date]</w:t>
            </w:r>
          </w:p>
        </w:tc>
      </w:tr>
      <w:tr>
        <w:tc>
          <w:tcPr>
            <w:tcW w:type="dxa" w:w="5112"/>
            <w:vAlign w:val="top"/>
          </w:tcPr>
          <w:p>
            <w:r>
              <w:rPr>
                <w:sz w:val="17"/>
              </w:rPr>
              <w:t>Primary client contact</w:t>
            </w:r>
          </w:p>
        </w:tc>
        <w:tc>
          <w:tcPr>
            <w:tcW w:type="dxa" w:w="5112"/>
            <w:vAlign w:val="top"/>
          </w:tcPr>
          <w:p>
            <w:r>
              <w:rPr>
                <w:sz w:val="17"/>
              </w:rPr>
              <w:t>[Name / role]</w:t>
            </w:r>
          </w:p>
        </w:tc>
      </w:tr>
      <w:tr>
        <w:tc>
          <w:tcPr>
            <w:tcW w:type="dxa" w:w="5112"/>
            <w:vAlign w:val="top"/>
          </w:tcPr>
          <w:p>
            <w:r>
              <w:rPr>
                <w:sz w:val="17"/>
              </w:rPr>
              <w:t>Primary agency contact</w:t>
            </w:r>
          </w:p>
        </w:tc>
        <w:tc>
          <w:tcPr>
            <w:tcW w:type="dxa" w:w="5112"/>
            <w:vAlign w:val="top"/>
          </w:tcPr>
          <w:p>
            <w:r>
              <w:rPr>
                <w:sz w:val="17"/>
              </w:rPr>
              <w:t>[Name / role]</w:t>
            </w:r>
          </w:p>
        </w:tc>
      </w:tr>
      <w:tr>
        <w:tc>
          <w:tcPr>
            <w:tcW w:type="dxa" w:w="5112"/>
            <w:vAlign w:val="top"/>
          </w:tcPr>
          <w:p>
            <w:r>
              <w:rPr>
                <w:sz w:val="17"/>
              </w:rPr>
              <w:t>Maintenance plan</w:t>
            </w:r>
          </w:p>
        </w:tc>
        <w:tc>
          <w:tcPr>
            <w:tcW w:type="dxa" w:w="5112"/>
            <w:vAlign w:val="top"/>
          </w:tcPr>
          <w:p>
            <w:r>
              <w:rPr>
                <w:sz w:val="17"/>
              </w:rPr>
              <w:t>[Plan / none]</w:t>
            </w:r>
          </w:p>
        </w:tc>
      </w:tr>
      <w:tr>
        <w:tc>
          <w:tcPr>
            <w:tcW w:type="dxa" w:w="5112"/>
            <w:vAlign w:val="top"/>
          </w:tcPr>
          <w:p>
            <w:r>
              <w:rPr>
                <w:sz w:val="17"/>
              </w:rPr>
              <w:t>Outstanding items</w:t>
            </w:r>
          </w:p>
        </w:tc>
        <w:tc>
          <w:tcPr>
            <w:tcW w:type="dxa" w:w="5112"/>
            <w:vAlign w:val="top"/>
          </w:tcPr>
          <w:p>
            <w:r>
              <w:rPr>
                <w:sz w:val="17"/>
              </w:rPr>
              <w:t>[None / listed separately]</w:t>
            </w:r>
          </w:p>
        </w:tc>
      </w:tr>
      <w:tr>
        <w:tc>
          <w:tcPr>
            <w:tcW w:type="dxa" w:w="5112"/>
            <w:vAlign w:val="top"/>
          </w:tcPr>
          <w:p>
            <w:r>
              <w:rPr>
                <w:sz w:val="17"/>
              </w:rPr>
              <w:t>Acceptance status</w:t>
            </w:r>
          </w:p>
        </w:tc>
        <w:tc>
          <w:tcPr>
            <w:tcW w:type="dxa" w:w="5112"/>
            <w:vAlign w:val="top"/>
          </w:tcPr>
          <w:p>
            <w:r>
              <w:rPr>
                <w:sz w:val="17"/>
              </w:rPr>
              <w:t>[Pending / Approved]</w:t>
            </w:r>
          </w:p>
        </w:tc>
      </w:tr>
    </w:tbl>
    <w:p/>
    <w:p>
      <w:r>
        <w:t>Bracketed values are project-specific and should be completed for the actual client handover. They are intentionally not hardcoded into the package.</w:t>
      </w:r>
    </w:p>
    <w:p>
      <w:pPr>
        <w:pStyle w:val="Heading1"/>
      </w:pPr>
      <w:r>
        <w:t>14. Handover Anti-Patterns</w:t>
      </w:r>
    </w:p>
    <w:p>
      <w:pPr>
        <w:pStyle w:val="ListBullet"/>
      </w:pPr>
      <w:r>
        <w:t>Leaving accounts with personal employee credentials.</w:t>
      </w:r>
    </w:p>
    <w:p>
      <w:pPr>
        <w:pStyle w:val="ListBullet"/>
      </w:pPr>
      <w:r>
        <w:t>Sending passwords in ordinary email or storing them in shared documents.</w:t>
      </w:r>
    </w:p>
    <w:p>
      <w:pPr>
        <w:pStyle w:val="ListBullet"/>
      </w:pPr>
      <w:r>
        <w:t>Giving the client access without explaining ownership or renewal responsibilities.</w:t>
      </w:r>
    </w:p>
    <w:p>
      <w:pPr>
        <w:pStyle w:val="ListBullet"/>
      </w:pPr>
      <w:r>
        <w:t>Delivering files without identifying which version is final.</w:t>
      </w:r>
    </w:p>
    <w:p>
      <w:pPr>
        <w:pStyle w:val="ListBullet"/>
      </w:pPr>
      <w:r>
        <w:t>Assuming the client understands maintenance boundaries without a walkthrough.</w:t>
      </w:r>
    </w:p>
    <w:p>
      <w:pPr>
        <w:pStyle w:val="ListBullet"/>
      </w:pPr>
      <w:r>
        <w:t>Treating new feature requests as defects during the stabilization period.</w:t>
      </w:r>
    </w:p>
    <w:p>
      <w:pPr>
        <w:pStyle w:val="ListBullet"/>
      </w:pPr>
      <w:r>
        <w:t>Leaving known limitations undocumented.</w:t>
      </w:r>
    </w:p>
    <w:p>
      <w:pPr>
        <w:pStyle w:val="Heading1"/>
      </w:pPr>
      <w:r>
        <w:t>15. Phase 15 Completion Criteria</w:t>
      </w:r>
    </w:p>
    <w:p>
      <w:pPr>
        <w:pStyle w:val="ListBullet"/>
      </w:pPr>
      <w:r>
        <w:t>The handover package structure is defined.</w:t>
      </w:r>
    </w:p>
    <w:p>
      <w:pPr>
        <w:pStyle w:val="ListBullet"/>
      </w:pPr>
      <w:r>
        <w:t>Access and credential transfer rules are defined.</w:t>
      </w:r>
    </w:p>
    <w:p>
      <w:pPr>
        <w:pStyle w:val="ListBullet"/>
      </w:pPr>
      <w:r>
        <w:t>Documentation and training requirements are defined.</w:t>
      </w:r>
    </w:p>
    <w:p>
      <w:pPr>
        <w:pStyle w:val="ListBullet"/>
      </w:pPr>
      <w:r>
        <w:t>Maintenance transition is defined.</w:t>
      </w:r>
    </w:p>
    <w:p>
      <w:pPr>
        <w:pStyle w:val="ListBullet"/>
      </w:pPr>
      <w:r>
        <w:t>Ownership responsibilities are clear.</w:t>
      </w:r>
    </w:p>
    <w:p>
      <w:pPr>
        <w:pStyle w:val="ListBullet"/>
      </w:pPr>
      <w:r>
        <w:t>Handover completion criteria are established.</w:t>
      </w:r>
    </w:p>
    <w:p>
      <w:pPr>
        <w:pStyle w:val="ListBullet"/>
      </w:pPr>
      <w:r>
        <w:t>The process is ready to support the final Acceptance phase.</w:t>
      </w:r>
    </w:p>
    <w:p>
      <w:pPr>
        <w:pStyle w:val="Heading1"/>
      </w:pPr>
      <w:r>
        <w:t>16. Next Phase</w:t>
      </w:r>
    </w:p>
    <w:p>
      <w:r>
        <w:t>The next and final phase is **Phase 16 — Acceptance**. It will define the final approval process, acceptance criteria, sign-off, outstanding-item handling, and formal completion of the Professional Presence project.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15 Handover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