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PACKAGE 3 — PROFESSIONAL PRESENCE</w:t>
      </w:r>
    </w:p>
    <w:p>
      <w:pPr>
        <w:jc w:val="center"/>
      </w:pPr>
      <w:r>
        <w:rPr>
          <w:b/>
          <w:sz w:val="46"/>
        </w:rPr>
        <w:t>Design System</w:t>
      </w:r>
    </w:p>
    <w:p>
      <w:pPr>
        <w:jc w:val="center"/>
      </w:pPr>
      <w:r>
        <w:rPr>
          <w:i/>
          <w:sz w:val="22"/>
        </w:rPr>
        <w:t>Phase 3 — Version 1.1 (Revised)</w:t>
      </w:r>
    </w:p>
    <w:p>
      <w:pPr>
        <w:jc w:val="center"/>
      </w:pPr>
      <w:r>
        <w:rPr>
          <w:sz w:val="18"/>
        </w:rPr>
        <w:t>Workflow: Package Definition ✓ → Information Architecture &amp; Routing ✓ → Design System → Page Template Specification → Component System → Content Model</w:t>
      </w:r>
    </w:p>
    <w:p>
      <w:r>
        <w:rPr>
          <w:b/>
        </w:rPr>
        <w:t xml:space="preserve">Reference standard: </w:t>
      </w:r>
      <w:r>
        <w:t>This phase follows the principles of the Universal Design Analysis framework: document the design logic behind the system, keep reusable rules explicit, distinguish evidence from assumptions when details are later measured, and make the result reproducible for design and AI implementation.</w:t>
      </w:r>
    </w:p>
    <w:p>
      <w:pPr>
        <w:pStyle w:val="Heading1"/>
        <w:spacing w:before="200" w:after="100"/>
      </w:pPr>
      <w:r>
        <w:t>1. Purpose of This Phase</w:t>
      </w:r>
    </w:p>
    <w:p>
      <w:r>
        <w:t>This document defines the shared visual foundation for Professional Presence and the visual direction of its three templates. It is intentionally lighter than a client-specific design manual. Exact brand values, measurements, fonts, and implementation tokens are finalized when an example client is selected.</w:t>
      </w:r>
    </w:p>
    <w:p>
      <w:pPr>
        <w:pStyle w:val="Heading1"/>
        <w:spacing w:before="200" w:after="100"/>
      </w:pPr>
      <w:r>
        <w:t>2. Shared Design Character</w:t>
      </w:r>
    </w:p>
    <w:p>
      <w:r>
        <w:t>Professional Presence should feel established, deliberate, editorial, and premium. Visual emphasis should come mainly from typography, scale, whitespace, image quality, composition, and contrast rather than decorative effects. Interfaces should feel content-led rather than card-led, with enough breathing room for important corporate stories while still supporting deep information architecture.</w:t>
      </w:r>
    </w:p>
    <w:p>
      <w:pPr>
        <w:pStyle w:val="Heading1"/>
        <w:spacing w:before="200" w:after="100"/>
      </w:pPr>
      <w:r>
        <w:t>3. Shared Design Principles</w:t>
      </w:r>
    </w:p>
    <w:p>
      <w:pPr>
        <w:pStyle w:val="ListBullet"/>
        <w:spacing w:after="60"/>
      </w:pPr>
      <w:r>
        <w:t>Intentional sophistication — premium quality comes from composition, hierarchy, spacing, typography, and imagery.</w:t>
      </w:r>
    </w:p>
    <w:p>
      <w:pPr>
        <w:pStyle w:val="ListBullet"/>
        <w:spacing w:after="60"/>
      </w:pPr>
      <w:r>
        <w:t>Evidence before claims — support credibility with projects, statistics, leadership, awards, certifications, publications, and measurable outcomes.</w:t>
      </w:r>
    </w:p>
    <w:p>
      <w:pPr>
        <w:pStyle w:val="ListBullet"/>
        <w:spacing w:after="60"/>
      </w:pPr>
      <w:r>
        <w:t>Editorial hierarchy — headings, summaries, metadata, body content, evidence, and actions must have distinct visual roles.</w:t>
      </w:r>
    </w:p>
    <w:p>
      <w:pPr>
        <w:pStyle w:val="ListBullet"/>
        <w:spacing w:after="60"/>
      </w:pPr>
      <w:r>
        <w:t>Content-led composition — use the layout that best fits the content instead of forcing everything into identical cards.</w:t>
      </w:r>
    </w:p>
    <w:p>
      <w:pPr>
        <w:pStyle w:val="ListBullet"/>
        <w:spacing w:after="60"/>
      </w:pPr>
      <w:r>
        <w:t>Restraint — use color accents, shadows, gradients, motion, and decorative elements selectively.</w:t>
      </w:r>
    </w:p>
    <w:p>
      <w:pPr>
        <w:pStyle w:val="ListBullet"/>
        <w:spacing w:after="60"/>
      </w:pPr>
      <w:r>
        <w:t>Accessibility by default — contrast, keyboard use, focus states, readable type, labels, reduced motion, and touch usability are baseline.</w:t>
      </w:r>
    </w:p>
    <w:p>
      <w:pPr>
        <w:pStyle w:val="ListBullet"/>
        <w:spacing w:after="60"/>
      </w:pPr>
      <w:r>
        <w:t>Performance-aware premium — visual richness must remain practical for responsive and optimized websites.</w:t>
      </w:r>
    </w:p>
    <w:p>
      <w:pPr>
        <w:pStyle w:val="Heading1"/>
        <w:spacing w:before="200" w:after="100"/>
      </w:pPr>
      <w:r>
        <w:t>4. Design Token Foundation</w:t>
      </w:r>
    </w:p>
    <w:p>
      <w:r>
        <w:t>Professional Presence uses shared semantic roles. Exact values are established during the example-client build and should be based on the approved brand and observed design direction.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9"/>
              </w:rPr>
              <w:t>Token group</w:t>
            </w:r>
          </w:p>
        </w:tc>
        <w:tc>
          <w:tcPr>
            <w:tcW w:type="dxa" w:w="5040"/>
            <w:vAlign w:val="center"/>
            <w:shd w:fill="EDEDED"/>
          </w:tcPr>
          <w:p>
            <w:r/>
            <w:r>
              <w:rPr>
                <w:b/>
                <w:sz w:val="19"/>
              </w:rPr>
              <w:t>Required roles</w:t>
            </w:r>
          </w:p>
        </w:tc>
      </w:tr>
      <w:tr>
        <w:tc>
          <w:tcPr>
            <w:tcW w:type="dxa" w:w="5040"/>
            <w:vAlign w:val="center"/>
          </w:tcPr>
          <w:p>
            <w:r/>
            <w:r>
              <w:rPr>
                <w:b w:val="0"/>
                <w:sz w:val="19"/>
              </w:rPr>
              <w:t>Color</w:t>
            </w:r>
          </w:p>
        </w:tc>
        <w:tc>
          <w:tcPr>
            <w:tcW w:type="dxa" w:w="5040"/>
            <w:vAlign w:val="center"/>
          </w:tcPr>
          <w:p>
            <w:r/>
            <w:r>
              <w:rPr>
                <w:b w:val="0"/>
                <w:sz w:val="19"/>
              </w:rPr>
              <w:t>Primary, secondary, accent, background, surface, text, muted text, border, success, warning, error, overlay where needed</w:t>
            </w:r>
          </w:p>
        </w:tc>
      </w:tr>
      <w:tr>
        <w:tc>
          <w:tcPr>
            <w:tcW w:type="dxa" w:w="5040"/>
            <w:vAlign w:val="center"/>
          </w:tcPr>
          <w:p>
            <w:r/>
            <w:r>
              <w:rPr>
                <w:b w:val="0"/>
                <w:sz w:val="19"/>
              </w:rPr>
              <w:t>Typography</w:t>
            </w:r>
          </w:p>
        </w:tc>
        <w:tc>
          <w:tcPr>
            <w:tcW w:type="dxa" w:w="5040"/>
            <w:vAlign w:val="center"/>
          </w:tcPr>
          <w:p>
            <w:r/>
            <w:r>
              <w:rPr>
                <w:b w:val="0"/>
                <w:sz w:val="19"/>
              </w:rPr>
              <w:t>Display, heading, body, label/eyebrow, UI text, caption/metadata</w:t>
            </w:r>
          </w:p>
        </w:tc>
      </w:tr>
      <w:tr>
        <w:tc>
          <w:tcPr>
            <w:tcW w:type="dxa" w:w="5040"/>
            <w:vAlign w:val="center"/>
          </w:tcPr>
          <w:p>
            <w:r/>
            <w:r>
              <w:rPr>
                <w:b w:val="0"/>
                <w:sz w:val="19"/>
              </w:rPr>
              <w:t>Spacing</w:t>
            </w:r>
          </w:p>
        </w:tc>
        <w:tc>
          <w:tcPr>
            <w:tcW w:type="dxa" w:w="5040"/>
            <w:vAlign w:val="center"/>
          </w:tcPr>
          <w:p>
            <w:r/>
            <w:r>
              <w:rPr>
                <w:b w:val="0"/>
                <w:sz w:val="19"/>
              </w:rPr>
              <w:t>Tight, small, medium, large, section, immersive</w:t>
            </w:r>
          </w:p>
        </w:tc>
      </w:tr>
      <w:tr>
        <w:tc>
          <w:tcPr>
            <w:tcW w:type="dxa" w:w="5040"/>
            <w:vAlign w:val="center"/>
          </w:tcPr>
          <w:p>
            <w:r/>
            <w:r>
              <w:rPr>
                <w:b w:val="0"/>
                <w:sz w:val="19"/>
              </w:rPr>
              <w:t>Geometry</w:t>
            </w:r>
          </w:p>
        </w:tc>
        <w:tc>
          <w:tcPr>
            <w:tcW w:type="dxa" w:w="5040"/>
            <w:vAlign w:val="center"/>
          </w:tcPr>
          <w:p>
            <w:r/>
            <w:r>
              <w:rPr>
                <w:b w:val="0"/>
                <w:sz w:val="19"/>
              </w:rPr>
              <w:t>Radius, border width, border style</w:t>
            </w:r>
          </w:p>
        </w:tc>
      </w:tr>
      <w:tr>
        <w:tc>
          <w:tcPr>
            <w:tcW w:type="dxa" w:w="5040"/>
            <w:vAlign w:val="center"/>
          </w:tcPr>
          <w:p>
            <w:r/>
            <w:r>
              <w:rPr>
                <w:b w:val="0"/>
                <w:sz w:val="19"/>
              </w:rPr>
              <w:t>Elevation</w:t>
            </w:r>
          </w:p>
        </w:tc>
        <w:tc>
          <w:tcPr>
            <w:tcW w:type="dxa" w:w="5040"/>
            <w:vAlign w:val="center"/>
          </w:tcPr>
          <w:p>
            <w:r/>
            <w:r>
              <w:rPr>
                <w:b w:val="0"/>
                <w:sz w:val="19"/>
              </w:rPr>
              <w:t>Flat, subtle, elevated only where needed</w:t>
            </w:r>
          </w:p>
        </w:tc>
      </w:tr>
      <w:tr>
        <w:tc>
          <w:tcPr>
            <w:tcW w:type="dxa" w:w="5040"/>
            <w:vAlign w:val="center"/>
          </w:tcPr>
          <w:p>
            <w:r/>
            <w:r>
              <w:rPr>
                <w:b w:val="0"/>
                <w:sz w:val="19"/>
              </w:rPr>
              <w:t>Motion</w:t>
            </w:r>
          </w:p>
        </w:tc>
        <w:tc>
          <w:tcPr>
            <w:tcW w:type="dxa" w:w="5040"/>
            <w:vAlign w:val="center"/>
          </w:tcPr>
          <w:p>
            <w:r/>
            <w:r>
              <w:rPr>
                <w:b w:val="0"/>
                <w:sz w:val="19"/>
              </w:rPr>
              <w:t>Duration, easing, hover/focus behavior, reduced-motion behavior</w:t>
            </w:r>
          </w:p>
        </w:tc>
      </w:tr>
      <w:tr>
        <w:tc>
          <w:tcPr>
            <w:tcW w:type="dxa" w:w="5040"/>
            <w:vAlign w:val="center"/>
          </w:tcPr>
          <w:p>
            <w:r/>
            <w:r>
              <w:rPr>
                <w:b w:val="0"/>
                <w:sz w:val="19"/>
              </w:rPr>
              <w:t>Layout</w:t>
            </w:r>
          </w:p>
        </w:tc>
        <w:tc>
          <w:tcPr>
            <w:tcW w:type="dxa" w:w="5040"/>
            <w:vAlign w:val="center"/>
          </w:tcPr>
          <w:p>
            <w:r/>
            <w:r>
              <w:rPr>
                <w:b w:val="0"/>
                <w:sz w:val="19"/>
              </w:rPr>
              <w:t>Container width, gutters, grid gaps, image ratios, breakpoints</w:t>
            </w:r>
          </w:p>
        </w:tc>
      </w:tr>
    </w:tbl>
    <w:p/>
    <w:p>
      <w:pPr>
        <w:pStyle w:val="Heading1"/>
        <w:spacing w:before="200" w:after="100"/>
      </w:pPr>
      <w:r>
        <w:t>5. Typography</w:t>
      </w:r>
    </w:p>
    <w:p>
      <w:r>
        <w:t>Professional Presence should avoid a generic one-font-everywhere appearance. A primary interface family may be paired with a display/editorial family when it strengthens the brand. Final font selection must consider licensing, performance, language support, and brand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
              <w:rPr>
                <w:b/>
                <w:sz w:val="19"/>
              </w:rPr>
              <w:t>Role</w:t>
            </w:r>
          </w:p>
        </w:tc>
        <w:tc>
          <w:tcPr>
            <w:tcW w:type="dxa" w:w="3360"/>
            <w:vAlign w:val="center"/>
            <w:shd w:fill="EDEDED"/>
          </w:tcPr>
          <w:p>
            <w:r/>
            <w:r>
              <w:rPr>
                <w:b/>
                <w:sz w:val="19"/>
              </w:rPr>
              <w:t>Use</w:t>
            </w:r>
          </w:p>
        </w:tc>
        <w:tc>
          <w:tcPr>
            <w:tcW w:type="dxa" w:w="3360"/>
            <w:vAlign w:val="center"/>
            <w:shd w:fill="EDEDED"/>
          </w:tcPr>
          <w:p>
            <w:r/>
            <w:r>
              <w:rPr>
                <w:b/>
                <w:sz w:val="19"/>
              </w:rPr>
              <w:t>Rule</w:t>
            </w:r>
          </w:p>
        </w:tc>
      </w:tr>
      <w:tr>
        <w:tc>
          <w:tcPr>
            <w:tcW w:type="dxa" w:w="3360"/>
            <w:vAlign w:val="center"/>
          </w:tcPr>
          <w:p>
            <w:r/>
            <w:r>
              <w:rPr>
                <w:b w:val="0"/>
                <w:sz w:val="19"/>
              </w:rPr>
              <w:t>Display</w:t>
            </w:r>
          </w:p>
        </w:tc>
        <w:tc>
          <w:tcPr>
            <w:tcW w:type="dxa" w:w="3360"/>
            <w:vAlign w:val="center"/>
          </w:tcPr>
          <w:p>
            <w:r/>
            <w:r>
              <w:rPr>
                <w:b w:val="0"/>
                <w:sz w:val="19"/>
              </w:rPr>
              <w:t>Hero headlines, major statements, editorial headlines</w:t>
            </w:r>
          </w:p>
        </w:tc>
        <w:tc>
          <w:tcPr>
            <w:tcW w:type="dxa" w:w="3360"/>
            <w:vAlign w:val="center"/>
          </w:tcPr>
          <w:p>
            <w:r/>
            <w:r>
              <w:rPr>
                <w:b w:val="0"/>
                <w:sz w:val="19"/>
              </w:rPr>
              <w:t>Expressive and selective; never used for dense body content</w:t>
            </w:r>
          </w:p>
        </w:tc>
      </w:tr>
      <w:tr>
        <w:tc>
          <w:tcPr>
            <w:tcW w:type="dxa" w:w="3360"/>
            <w:vAlign w:val="center"/>
          </w:tcPr>
          <w:p>
            <w:r/>
            <w:r>
              <w:rPr>
                <w:b w:val="0"/>
                <w:sz w:val="19"/>
              </w:rPr>
              <w:t>Heading</w:t>
            </w:r>
          </w:p>
        </w:tc>
        <w:tc>
          <w:tcPr>
            <w:tcW w:type="dxa" w:w="3360"/>
            <w:vAlign w:val="center"/>
          </w:tcPr>
          <w:p>
            <w:r/>
            <w:r>
              <w:rPr>
                <w:b w:val="0"/>
                <w:sz w:val="19"/>
              </w:rPr>
              <w:t>Section and subsection titles</w:t>
            </w:r>
          </w:p>
        </w:tc>
        <w:tc>
          <w:tcPr>
            <w:tcW w:type="dxa" w:w="3360"/>
            <w:vAlign w:val="center"/>
          </w:tcPr>
          <w:p>
            <w:r/>
            <w:r>
              <w:rPr>
                <w:b w:val="0"/>
                <w:sz w:val="19"/>
              </w:rPr>
              <w:t>Clear, predictable hierarchy</w:t>
            </w:r>
          </w:p>
        </w:tc>
      </w:tr>
      <w:tr>
        <w:tc>
          <w:tcPr>
            <w:tcW w:type="dxa" w:w="3360"/>
            <w:vAlign w:val="center"/>
          </w:tcPr>
          <w:p>
            <w:r/>
            <w:r>
              <w:rPr>
                <w:b w:val="0"/>
                <w:sz w:val="19"/>
              </w:rPr>
              <w:t>Body</w:t>
            </w:r>
          </w:p>
        </w:tc>
        <w:tc>
          <w:tcPr>
            <w:tcW w:type="dxa" w:w="3360"/>
            <w:vAlign w:val="center"/>
          </w:tcPr>
          <w:p>
            <w:r/>
            <w:r>
              <w:rPr>
                <w:b w:val="0"/>
                <w:sz w:val="19"/>
              </w:rPr>
              <w:t>Descriptions, long-form content, supporting copy</w:t>
            </w:r>
          </w:p>
        </w:tc>
        <w:tc>
          <w:tcPr>
            <w:tcW w:type="dxa" w:w="3360"/>
            <w:vAlign w:val="center"/>
          </w:tcPr>
          <w:p>
            <w:r/>
            <w:r>
              <w:rPr>
                <w:b w:val="0"/>
                <w:sz w:val="19"/>
              </w:rPr>
              <w:t>High readability and controlled line length</w:t>
            </w:r>
          </w:p>
        </w:tc>
      </w:tr>
      <w:tr>
        <w:tc>
          <w:tcPr>
            <w:tcW w:type="dxa" w:w="3360"/>
            <w:vAlign w:val="center"/>
          </w:tcPr>
          <w:p>
            <w:r/>
            <w:r>
              <w:rPr>
                <w:b w:val="0"/>
                <w:sz w:val="19"/>
              </w:rPr>
              <w:t>Label / Eyebrow</w:t>
            </w:r>
          </w:p>
        </w:tc>
        <w:tc>
          <w:tcPr>
            <w:tcW w:type="dxa" w:w="3360"/>
            <w:vAlign w:val="center"/>
          </w:tcPr>
          <w:p>
            <w:r/>
            <w:r>
              <w:rPr>
                <w:b w:val="0"/>
                <w:sz w:val="19"/>
              </w:rPr>
              <w:t>Section labels, categories, metadata</w:t>
            </w:r>
          </w:p>
        </w:tc>
        <w:tc>
          <w:tcPr>
            <w:tcW w:type="dxa" w:w="3360"/>
            <w:vAlign w:val="center"/>
          </w:tcPr>
          <w:p>
            <w:r/>
            <w:r>
              <w:rPr>
                <w:b w:val="0"/>
                <w:sz w:val="19"/>
              </w:rPr>
              <w:t>Compact and quiet</w:t>
            </w:r>
          </w:p>
        </w:tc>
      </w:tr>
      <w:tr>
        <w:tc>
          <w:tcPr>
            <w:tcW w:type="dxa" w:w="3360"/>
            <w:vAlign w:val="center"/>
          </w:tcPr>
          <w:p>
            <w:r/>
            <w:r>
              <w:rPr>
                <w:b w:val="0"/>
                <w:sz w:val="19"/>
              </w:rPr>
              <w:t>UI Text</w:t>
            </w:r>
          </w:p>
        </w:tc>
        <w:tc>
          <w:tcPr>
            <w:tcW w:type="dxa" w:w="3360"/>
            <w:vAlign w:val="center"/>
          </w:tcPr>
          <w:p>
            <w:r/>
            <w:r>
              <w:rPr>
                <w:b w:val="0"/>
                <w:sz w:val="19"/>
              </w:rPr>
              <w:t>Navigation, buttons, controls, forms</w:t>
            </w:r>
          </w:p>
        </w:tc>
        <w:tc>
          <w:tcPr>
            <w:tcW w:type="dxa" w:w="3360"/>
            <w:vAlign w:val="center"/>
          </w:tcPr>
          <w:p>
            <w:r/>
            <w:r>
              <w:rPr>
                <w:b w:val="0"/>
                <w:sz w:val="19"/>
              </w:rPr>
              <w:t>Highly legible and functional</w:t>
            </w:r>
          </w:p>
        </w:tc>
      </w:tr>
      <w:tr>
        <w:tc>
          <w:tcPr>
            <w:tcW w:type="dxa" w:w="3360"/>
            <w:vAlign w:val="center"/>
          </w:tcPr>
          <w:p>
            <w:r/>
            <w:r>
              <w:rPr>
                <w:b w:val="0"/>
                <w:sz w:val="19"/>
              </w:rPr>
              <w:t>Caption / Metadata</w:t>
            </w:r>
          </w:p>
        </w:tc>
        <w:tc>
          <w:tcPr>
            <w:tcW w:type="dxa" w:w="3360"/>
            <w:vAlign w:val="center"/>
          </w:tcPr>
          <w:p>
            <w:r/>
            <w:r>
              <w:rPr>
                <w:b w:val="0"/>
                <w:sz w:val="19"/>
              </w:rPr>
              <w:t>Dates, locations, credits</w:t>
            </w:r>
          </w:p>
        </w:tc>
        <w:tc>
          <w:tcPr>
            <w:tcW w:type="dxa" w:w="3360"/>
            <w:vAlign w:val="center"/>
          </w:tcPr>
          <w:p>
            <w:r/>
            <w:r>
              <w:rPr>
                <w:b w:val="0"/>
                <w:sz w:val="19"/>
              </w:rPr>
              <w:t>Small but accessible; never the only place for essential meaning</w:t>
            </w:r>
          </w:p>
        </w:tc>
      </w:tr>
    </w:tbl>
    <w:p/>
    <w:p>
      <w:pPr>
        <w:pStyle w:val="Heading1"/>
        <w:spacing w:before="200" w:after="100"/>
      </w:pPr>
      <w:r>
        <w:t>6. Spacing, Radius &amp; Surface Rules</w:t>
      </w:r>
    </w:p>
    <w:p>
      <w:pPr>
        <w:pStyle w:val="ListBullet"/>
        <w:spacing w:after="60"/>
      </w:pPr>
      <w:r>
        <w:t>Use a predictable spacing rhythm so layouts feel composed rather than manually positioned.</w:t>
      </w:r>
    </w:p>
    <w:p>
      <w:pPr>
        <w:pStyle w:val="ListBullet"/>
        <w:spacing w:after="60"/>
      </w:pPr>
      <w:r>
        <w:t>Use larger spacing between major narrative sections and tighter spacing within related content groups.</w:t>
      </w:r>
    </w:p>
    <w:p>
      <w:pPr>
        <w:pStyle w:val="ListBullet"/>
        <w:spacing w:after="60"/>
      </w:pPr>
      <w:r>
        <w:t>Keep radius usage consistent within a client/template; do not mix many unrelated shapes.</w:t>
      </w:r>
    </w:p>
    <w:p>
      <w:pPr>
        <w:pStyle w:val="ListBullet"/>
        <w:spacing w:after="60"/>
      </w:pPr>
      <w:r>
        <w:t>Prefer whitespace and borders for separation unless elevation is clearly useful.</w:t>
      </w:r>
    </w:p>
    <w:p>
      <w:pPr>
        <w:pStyle w:val="ListBullet"/>
        <w:spacing w:after="60"/>
      </w:pPr>
      <w:r>
        <w:t>Do not add shadows everywhere. Premium restraint is preferred.</w:t>
      </w:r>
    </w:p>
    <w:p>
      <w:pPr>
        <w:pStyle w:val="Heading1"/>
        <w:spacing w:before="200" w:after="100"/>
      </w:pPr>
      <w:r>
        <w:t>7. Layout &amp; Grid</w:t>
      </w:r>
    </w:p>
    <w:p>
      <w:r>
        <w:t>The system uses a flexible conceptual 12-column desktop grid that can recombine for different content types. Tablet and mobile layouts must recompose based on content priority rather than simply shrinking desktop proportions.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9"/>
              </w:rPr>
              <w:t>Layout pattern</w:t>
            </w:r>
          </w:p>
        </w:tc>
        <w:tc>
          <w:tcPr>
            <w:tcW w:type="dxa" w:w="5040"/>
            <w:vAlign w:val="center"/>
            <w:shd w:fill="EDEDED"/>
          </w:tcPr>
          <w:p>
            <w:r/>
            <w:r>
              <w:rPr>
                <w:b/>
                <w:sz w:val="19"/>
              </w:rPr>
              <w:t>Use</w:t>
            </w:r>
          </w:p>
        </w:tc>
      </w:tr>
      <w:tr>
        <w:tc>
          <w:tcPr>
            <w:tcW w:type="dxa" w:w="5040"/>
            <w:vAlign w:val="center"/>
          </w:tcPr>
          <w:p>
            <w:r/>
            <w:r>
              <w:rPr>
                <w:b w:val="0"/>
                <w:sz w:val="19"/>
              </w:rPr>
              <w:t>Contained section</w:t>
            </w:r>
          </w:p>
        </w:tc>
        <w:tc>
          <w:tcPr>
            <w:tcW w:type="dxa" w:w="5040"/>
            <w:vAlign w:val="center"/>
          </w:tcPr>
          <w:p>
            <w:r/>
            <w:r>
              <w:rPr>
                <w:b w:val="0"/>
                <w:sz w:val="19"/>
              </w:rPr>
              <w:t>Core text, functional content, standard information</w:t>
            </w:r>
          </w:p>
        </w:tc>
      </w:tr>
      <w:tr>
        <w:tc>
          <w:tcPr>
            <w:tcW w:type="dxa" w:w="5040"/>
            <w:vAlign w:val="center"/>
          </w:tcPr>
          <w:p>
            <w:r/>
            <w:r>
              <w:rPr>
                <w:b w:val="0"/>
                <w:sz w:val="19"/>
              </w:rPr>
              <w:t>Full-bleed section</w:t>
            </w:r>
          </w:p>
        </w:tc>
        <w:tc>
          <w:tcPr>
            <w:tcW w:type="dxa" w:w="5040"/>
            <w:vAlign w:val="center"/>
          </w:tcPr>
          <w:p>
            <w:r/>
            <w:r>
              <w:rPr>
                <w:b w:val="0"/>
                <w:sz w:val="19"/>
              </w:rPr>
              <w:t>Brand statements, major imagery, visual transitions</w:t>
            </w:r>
          </w:p>
        </w:tc>
      </w:tr>
      <w:tr>
        <w:tc>
          <w:tcPr>
            <w:tcW w:type="dxa" w:w="5040"/>
            <w:vAlign w:val="center"/>
          </w:tcPr>
          <w:p>
            <w:r/>
            <w:r>
              <w:rPr>
                <w:b w:val="0"/>
                <w:sz w:val="19"/>
              </w:rPr>
              <w:t>Asymmetric split</w:t>
            </w:r>
          </w:p>
        </w:tc>
        <w:tc>
          <w:tcPr>
            <w:tcW w:type="dxa" w:w="5040"/>
            <w:vAlign w:val="center"/>
          </w:tcPr>
          <w:p>
            <w:r/>
            <w:r>
              <w:rPr>
                <w:b w:val="0"/>
                <w:sz w:val="19"/>
              </w:rPr>
              <w:t>Editorial storytelling, leadership, expertise, institutional content</w:t>
            </w:r>
          </w:p>
        </w:tc>
      </w:tr>
      <w:tr>
        <w:tc>
          <w:tcPr>
            <w:tcW w:type="dxa" w:w="5040"/>
            <w:vAlign w:val="center"/>
          </w:tcPr>
          <w:p>
            <w:r/>
            <w:r>
              <w:rPr>
                <w:b w:val="0"/>
                <w:sz w:val="19"/>
              </w:rPr>
              <w:t>Feature grid</w:t>
            </w:r>
          </w:p>
        </w:tc>
        <w:tc>
          <w:tcPr>
            <w:tcW w:type="dxa" w:w="5040"/>
            <w:vAlign w:val="center"/>
          </w:tcPr>
          <w:p>
            <w:r/>
            <w:r>
              <w:rPr>
                <w:b w:val="0"/>
                <w:sz w:val="19"/>
              </w:rPr>
              <w:t>Projects, recognition, services, selected resources</w:t>
            </w:r>
          </w:p>
        </w:tc>
      </w:tr>
      <w:tr>
        <w:tc>
          <w:tcPr>
            <w:tcW w:type="dxa" w:w="5040"/>
            <w:vAlign w:val="center"/>
          </w:tcPr>
          <w:p>
            <w:r/>
            <w:r>
              <w:rPr>
                <w:b w:val="0"/>
                <w:sz w:val="19"/>
              </w:rPr>
              <w:t>Image + text</w:t>
            </w:r>
          </w:p>
        </w:tc>
        <w:tc>
          <w:tcPr>
            <w:tcW w:type="dxa" w:w="5040"/>
            <w:vAlign w:val="center"/>
          </w:tcPr>
          <w:p>
            <w:r/>
            <w:r>
              <w:rPr>
                <w:b w:val="0"/>
                <w:sz w:val="19"/>
              </w:rPr>
              <w:t>Corporate story, case studies, capabilities</w:t>
            </w:r>
          </w:p>
        </w:tc>
      </w:tr>
      <w:tr>
        <w:tc>
          <w:tcPr>
            <w:tcW w:type="dxa" w:w="5040"/>
            <w:vAlign w:val="center"/>
          </w:tcPr>
          <w:p>
            <w:r/>
            <w:r>
              <w:rPr>
                <w:b w:val="0"/>
                <w:sz w:val="19"/>
              </w:rPr>
              <w:t>Large statistics</w:t>
            </w:r>
          </w:p>
        </w:tc>
        <w:tc>
          <w:tcPr>
            <w:tcW w:type="dxa" w:w="5040"/>
            <w:vAlign w:val="center"/>
          </w:tcPr>
          <w:p>
            <w:r/>
            <w:r>
              <w:rPr>
                <w:b w:val="0"/>
                <w:sz w:val="19"/>
              </w:rPr>
              <w:t>Scale, impact, milestones, proof</w:t>
            </w:r>
          </w:p>
        </w:tc>
      </w:tr>
      <w:tr>
        <w:tc>
          <w:tcPr>
            <w:tcW w:type="dxa" w:w="5040"/>
            <w:vAlign w:val="center"/>
          </w:tcPr>
          <w:p>
            <w:r/>
            <w:r>
              <w:rPr>
                <w:b w:val="0"/>
                <w:sz w:val="19"/>
              </w:rPr>
              <w:t>Gallery / visual grid</w:t>
            </w:r>
          </w:p>
        </w:tc>
        <w:tc>
          <w:tcPr>
            <w:tcW w:type="dxa" w:w="5040"/>
            <w:vAlign w:val="center"/>
          </w:tcPr>
          <w:p>
            <w:r/>
            <w:r>
              <w:rPr>
                <w:b w:val="0"/>
                <w:sz w:val="19"/>
              </w:rPr>
              <w:t>Projects, spaces, facilities, visual storytelling</w:t>
            </w:r>
          </w:p>
        </w:tc>
      </w:tr>
      <w:tr>
        <w:tc>
          <w:tcPr>
            <w:tcW w:type="dxa" w:w="5040"/>
            <w:vAlign w:val="center"/>
          </w:tcPr>
          <w:p>
            <w:r/>
            <w:r>
              <w:rPr>
                <w:b w:val="0"/>
                <w:sz w:val="19"/>
              </w:rPr>
              <w:t>Stacked narrative</w:t>
            </w:r>
          </w:p>
        </w:tc>
        <w:tc>
          <w:tcPr>
            <w:tcW w:type="dxa" w:w="5040"/>
            <w:vAlign w:val="center"/>
          </w:tcPr>
          <w:p>
            <w:r/>
            <w:r>
              <w:rPr>
                <w:b w:val="0"/>
                <w:sz w:val="19"/>
              </w:rPr>
              <w:t>Primary mobile composition</w:t>
            </w:r>
          </w:p>
        </w:tc>
      </w:tr>
    </w:tbl>
    <w:p/>
    <w:p>
      <w:pPr>
        <w:pStyle w:val="Heading1"/>
        <w:spacing w:before="200" w:after="100"/>
      </w:pPr>
      <w:r>
        <w:t>8. Navigation &amp; Hero Rules</w:t>
      </w:r>
    </w:p>
    <w:p>
      <w:r>
        <w:t>Navigation may be richer than Business Growth because Professional Presence can contain multiple content ecosystems. Navigation must remain understandable and reflect the approved information architecture.</w:t>
      </w:r>
    </w:p>
    <w:p>
      <w:pPr>
        <w:pStyle w:val="ListBullet"/>
        <w:spacing w:after="60"/>
      </w:pPr>
      <w:r>
        <w:t>Primary navigation should expose the most important top-level sections.</w:t>
      </w:r>
    </w:p>
    <w:p>
      <w:pPr>
        <w:pStyle w:val="ListBullet"/>
        <w:spacing w:after="60"/>
      </w:pPr>
      <w:r>
        <w:t>Use contextual navigation, mega-navigation, or breadcrumbs only when the content depth justifies them.</w:t>
      </w:r>
    </w:p>
    <w:p>
      <w:pPr>
        <w:pStyle w:val="ListBullet"/>
        <w:spacing w:after="60"/>
      </w:pPr>
      <w:r>
        <w:t>Mobile navigation must preserve the same information hierarchy as desktop with predictable open/close behavior.</w:t>
      </w:r>
    </w:p>
    <w:p>
      <w:pPr>
        <w:pStyle w:val="ListBullet"/>
        <w:spacing w:after="60"/>
      </w:pPr>
      <w:r>
        <w:t>Hero sections must establish the template character immediately through scale, typography, imagery, and hierarchy.</w:t>
      </w:r>
    </w:p>
    <w:p>
      <w:pPr>
        <w:pStyle w:val="ListBullet"/>
        <w:spacing w:after="60"/>
      </w:pPr>
      <w:r>
        <w:t>Avoid adding extra CTAs, gradients, decorative shapes, or animation unless the selected visual direction calls for them.</w:t>
      </w:r>
    </w:p>
    <w:p>
      <w:pPr>
        <w:pStyle w:val="Heading1"/>
        <w:spacing w:before="200" w:after="100"/>
      </w:pPr>
      <w:r>
        <w:t>9. Core Interaction &amp; Component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9"/>
              </w:rPr>
              <w:t>Pattern</w:t>
            </w:r>
          </w:p>
        </w:tc>
        <w:tc>
          <w:tcPr>
            <w:tcW w:type="dxa" w:w="5040"/>
            <w:vAlign w:val="center"/>
            <w:shd w:fill="EDEDED"/>
          </w:tcPr>
          <w:p>
            <w:r/>
            <w:r>
              <w:rPr>
                <w:b/>
                <w:sz w:val="19"/>
              </w:rPr>
              <w:t>Rule</w:t>
            </w:r>
          </w:p>
        </w:tc>
      </w:tr>
      <w:tr>
        <w:tc>
          <w:tcPr>
            <w:tcW w:type="dxa" w:w="5040"/>
            <w:vAlign w:val="center"/>
          </w:tcPr>
          <w:p>
            <w:r/>
            <w:r>
              <w:rPr>
                <w:b w:val="0"/>
                <w:sz w:val="19"/>
              </w:rPr>
              <w:t>Buttons / CTAs</w:t>
            </w:r>
          </w:p>
        </w:tc>
        <w:tc>
          <w:tcPr>
            <w:tcW w:type="dxa" w:w="5040"/>
            <w:vAlign w:val="center"/>
          </w:tcPr>
          <w:p>
            <w:r/>
            <w:r>
              <w:rPr>
                <w:b w:val="0"/>
                <w:sz w:val="19"/>
              </w:rPr>
              <w:t>Clear primary/secondary hierarchy; concise labels; visible focus state</w:t>
            </w:r>
          </w:p>
        </w:tc>
      </w:tr>
      <w:tr>
        <w:tc>
          <w:tcPr>
            <w:tcW w:type="dxa" w:w="5040"/>
            <w:vAlign w:val="center"/>
          </w:tcPr>
          <w:p>
            <w:r/>
            <w:r>
              <w:rPr>
                <w:b w:val="0"/>
                <w:sz w:val="19"/>
              </w:rPr>
              <w:t>Cards</w:t>
            </w:r>
          </w:p>
        </w:tc>
        <w:tc>
          <w:tcPr>
            <w:tcW w:type="dxa" w:w="5040"/>
            <w:vAlign w:val="center"/>
          </w:tcPr>
          <w:p>
            <w:r/>
            <w:r>
              <w:rPr>
                <w:b w:val="0"/>
                <w:sz w:val="19"/>
              </w:rPr>
              <w:t>Use only when grouping helps scanning; open editorial layouts are preferred when cards add repetition without value</w:t>
            </w:r>
          </w:p>
        </w:tc>
      </w:tr>
      <w:tr>
        <w:tc>
          <w:tcPr>
            <w:tcW w:type="dxa" w:w="5040"/>
            <w:vAlign w:val="center"/>
          </w:tcPr>
          <w:p>
            <w:r/>
            <w:r>
              <w:rPr>
                <w:b w:val="0"/>
                <w:sz w:val="19"/>
              </w:rPr>
              <w:t>Statistics</w:t>
            </w:r>
          </w:p>
        </w:tc>
        <w:tc>
          <w:tcPr>
            <w:tcW w:type="dxa" w:w="5040"/>
            <w:vAlign w:val="center"/>
          </w:tcPr>
          <w:p>
            <w:r/>
            <w:r>
              <w:rPr>
                <w:b w:val="0"/>
                <w:sz w:val="19"/>
              </w:rPr>
              <w:t>Large value + concise label + context</w:t>
            </w:r>
          </w:p>
        </w:tc>
      </w:tr>
      <w:tr>
        <w:tc>
          <w:tcPr>
            <w:tcW w:type="dxa" w:w="5040"/>
            <w:vAlign w:val="center"/>
          </w:tcPr>
          <w:p>
            <w:r/>
            <w:r>
              <w:rPr>
                <w:b w:val="0"/>
                <w:sz w:val="19"/>
              </w:rPr>
              <w:t>Leadership profiles</w:t>
            </w:r>
          </w:p>
        </w:tc>
        <w:tc>
          <w:tcPr>
            <w:tcW w:type="dxa" w:w="5040"/>
            <w:vAlign w:val="center"/>
          </w:tcPr>
          <w:p>
            <w:r/>
            <w:r>
              <w:rPr>
                <w:b w:val="0"/>
                <w:sz w:val="19"/>
              </w:rPr>
              <w:t>Consistent portrait treatment and clear profile hierarchy</w:t>
            </w:r>
          </w:p>
        </w:tc>
      </w:tr>
      <w:tr>
        <w:tc>
          <w:tcPr>
            <w:tcW w:type="dxa" w:w="5040"/>
            <w:vAlign w:val="center"/>
          </w:tcPr>
          <w:p>
            <w:r/>
            <w:r>
              <w:rPr>
                <w:b w:val="0"/>
                <w:sz w:val="19"/>
              </w:rPr>
              <w:t>Logos</w:t>
            </w:r>
          </w:p>
        </w:tc>
        <w:tc>
          <w:tcPr>
            <w:tcW w:type="dxa" w:w="5040"/>
            <w:vAlign w:val="center"/>
          </w:tcPr>
          <w:p>
            <w:r/>
            <w:r>
              <w:rPr>
                <w:b w:val="0"/>
                <w:sz w:val="19"/>
              </w:rPr>
              <w:t>Preserve proportions and give logos visual breathing room</w:t>
            </w:r>
          </w:p>
        </w:tc>
      </w:tr>
      <w:tr>
        <w:tc>
          <w:tcPr>
            <w:tcW w:type="dxa" w:w="5040"/>
            <w:vAlign w:val="center"/>
          </w:tcPr>
          <w:p>
            <w:r/>
            <w:r>
              <w:rPr>
                <w:b w:val="0"/>
                <w:sz w:val="19"/>
              </w:rPr>
              <w:t>Timeline</w:t>
            </w:r>
          </w:p>
        </w:tc>
        <w:tc>
          <w:tcPr>
            <w:tcW w:type="dxa" w:w="5040"/>
            <w:vAlign w:val="center"/>
          </w:tcPr>
          <w:p>
            <w:r/>
            <w:r>
              <w:rPr>
                <w:b w:val="0"/>
                <w:sz w:val="19"/>
              </w:rPr>
              <w:t>Show progression clearly with meaningful milestone content</w:t>
            </w:r>
          </w:p>
        </w:tc>
      </w:tr>
      <w:tr>
        <w:tc>
          <w:tcPr>
            <w:tcW w:type="dxa" w:w="5040"/>
            <w:vAlign w:val="center"/>
          </w:tcPr>
          <w:p>
            <w:r/>
            <w:r>
              <w:rPr>
                <w:b w:val="0"/>
                <w:sz w:val="19"/>
              </w:rPr>
              <w:t>Forms</w:t>
            </w:r>
          </w:p>
        </w:tc>
        <w:tc>
          <w:tcPr>
            <w:tcW w:type="dxa" w:w="5040"/>
            <w:vAlign w:val="center"/>
          </w:tcPr>
          <w:p>
            <w:r/>
            <w:r>
              <w:rPr>
                <w:b w:val="0"/>
                <w:sz w:val="19"/>
              </w:rPr>
              <w:t>Purposeful fields, visible labels, clear validation and feedback</w:t>
            </w:r>
          </w:p>
        </w:tc>
      </w:tr>
      <w:tr>
        <w:tc>
          <w:tcPr>
            <w:tcW w:type="dxa" w:w="5040"/>
            <w:vAlign w:val="center"/>
          </w:tcPr>
          <w:p>
            <w:r/>
            <w:r>
              <w:rPr>
                <w:b w:val="0"/>
                <w:sz w:val="19"/>
              </w:rPr>
              <w:t>Resources</w:t>
            </w:r>
          </w:p>
        </w:tc>
        <w:tc>
          <w:tcPr>
            <w:tcW w:type="dxa" w:w="5040"/>
            <w:vAlign w:val="center"/>
          </w:tcPr>
          <w:p>
            <w:r/>
            <w:r>
              <w:rPr>
                <w:b w:val="0"/>
                <w:sz w:val="19"/>
              </w:rPr>
              <w:t>Consistent file type, title, metadata, and action</w:t>
            </w:r>
          </w:p>
        </w:tc>
      </w:tr>
      <w:tr>
        <w:tc>
          <w:tcPr>
            <w:tcW w:type="dxa" w:w="5040"/>
            <w:vAlign w:val="center"/>
          </w:tcPr>
          <w:p>
            <w:r/>
            <w:r>
              <w:rPr>
                <w:b w:val="0"/>
                <w:sz w:val="19"/>
              </w:rPr>
              <w:t>Gallery</w:t>
            </w:r>
          </w:p>
        </w:tc>
        <w:tc>
          <w:tcPr>
            <w:tcW w:type="dxa" w:w="5040"/>
            <w:vAlign w:val="center"/>
          </w:tcPr>
          <w:p>
            <w:r/>
            <w:r>
              <w:rPr>
                <w:b w:val="0"/>
                <w:sz w:val="19"/>
              </w:rPr>
              <w:t>Let imagery carry the story while preserving navigation and accessibility</w:t>
            </w:r>
          </w:p>
        </w:tc>
      </w:tr>
    </w:tbl>
    <w:p/>
    <w:p>
      <w:pPr>
        <w:pStyle w:val="Heading1"/>
        <w:spacing w:before="200" w:after="100"/>
      </w:pPr>
      <w:r>
        <w:t>10. States &amp; Feedback</w:t>
      </w:r>
    </w:p>
    <w:p>
      <w:r>
        <w:t>Every interactive component should account for its relevant states. Not every state must appear in the visual design, but the rules should remain consistent.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9"/>
              </w:rPr>
              <w:t>State</w:t>
            </w:r>
          </w:p>
        </w:tc>
        <w:tc>
          <w:tcPr>
            <w:tcW w:type="dxa" w:w="5040"/>
            <w:vAlign w:val="center"/>
            <w:shd w:fill="EDEDED"/>
          </w:tcPr>
          <w:p>
            <w:r/>
            <w:r>
              <w:rPr>
                <w:b/>
                <w:sz w:val="19"/>
              </w:rPr>
              <w:t>Expectation</w:t>
            </w:r>
          </w:p>
        </w:tc>
      </w:tr>
      <w:tr>
        <w:tc>
          <w:tcPr>
            <w:tcW w:type="dxa" w:w="5040"/>
            <w:vAlign w:val="center"/>
          </w:tcPr>
          <w:p>
            <w:r/>
            <w:r>
              <w:rPr>
                <w:b w:val="0"/>
                <w:sz w:val="19"/>
              </w:rPr>
              <w:t>Default</w:t>
            </w:r>
          </w:p>
        </w:tc>
        <w:tc>
          <w:tcPr>
            <w:tcW w:type="dxa" w:w="5040"/>
            <w:vAlign w:val="center"/>
          </w:tcPr>
          <w:p>
            <w:r/>
            <w:r>
              <w:rPr>
                <w:b w:val="0"/>
                <w:sz w:val="19"/>
              </w:rPr>
              <w:t>Clear baseline appearance</w:t>
            </w:r>
          </w:p>
        </w:tc>
      </w:tr>
      <w:tr>
        <w:tc>
          <w:tcPr>
            <w:tcW w:type="dxa" w:w="5040"/>
            <w:vAlign w:val="center"/>
          </w:tcPr>
          <w:p>
            <w:r/>
            <w:r>
              <w:rPr>
                <w:b w:val="0"/>
                <w:sz w:val="19"/>
              </w:rPr>
              <w:t>Hover</w:t>
            </w:r>
          </w:p>
        </w:tc>
        <w:tc>
          <w:tcPr>
            <w:tcW w:type="dxa" w:w="5040"/>
            <w:vAlign w:val="center"/>
          </w:tcPr>
          <w:p>
            <w:r/>
            <w:r>
              <w:rPr>
                <w:b w:val="0"/>
                <w:sz w:val="19"/>
              </w:rPr>
              <w:t>Subtle response where hover applies</w:t>
            </w:r>
          </w:p>
        </w:tc>
      </w:tr>
      <w:tr>
        <w:tc>
          <w:tcPr>
            <w:tcW w:type="dxa" w:w="5040"/>
            <w:vAlign w:val="center"/>
          </w:tcPr>
          <w:p>
            <w:r/>
            <w:r>
              <w:rPr>
                <w:b w:val="0"/>
                <w:sz w:val="19"/>
              </w:rPr>
              <w:t>Focus</w:t>
            </w:r>
          </w:p>
        </w:tc>
        <w:tc>
          <w:tcPr>
            <w:tcW w:type="dxa" w:w="5040"/>
            <w:vAlign w:val="center"/>
          </w:tcPr>
          <w:p>
            <w:r/>
            <w:r>
              <w:rPr>
                <w:b w:val="0"/>
                <w:sz w:val="19"/>
              </w:rPr>
              <w:t>Visible keyboard focus</w:t>
            </w:r>
          </w:p>
        </w:tc>
      </w:tr>
      <w:tr>
        <w:tc>
          <w:tcPr>
            <w:tcW w:type="dxa" w:w="5040"/>
            <w:vAlign w:val="center"/>
          </w:tcPr>
          <w:p>
            <w:r/>
            <w:r>
              <w:rPr>
                <w:b w:val="0"/>
                <w:sz w:val="19"/>
              </w:rPr>
              <w:t>Active / Selected</w:t>
            </w:r>
          </w:p>
        </w:tc>
        <w:tc>
          <w:tcPr>
            <w:tcW w:type="dxa" w:w="5040"/>
            <w:vAlign w:val="center"/>
          </w:tcPr>
          <w:p>
            <w:r/>
            <w:r>
              <w:rPr>
                <w:b w:val="0"/>
                <w:sz w:val="19"/>
              </w:rPr>
              <w:t>Clear current context</w:t>
            </w:r>
          </w:p>
        </w:tc>
      </w:tr>
      <w:tr>
        <w:tc>
          <w:tcPr>
            <w:tcW w:type="dxa" w:w="5040"/>
            <w:vAlign w:val="center"/>
          </w:tcPr>
          <w:p>
            <w:r/>
            <w:r>
              <w:rPr>
                <w:b w:val="0"/>
                <w:sz w:val="19"/>
              </w:rPr>
              <w:t>Disabled</w:t>
            </w:r>
          </w:p>
        </w:tc>
        <w:tc>
          <w:tcPr>
            <w:tcW w:type="dxa" w:w="5040"/>
            <w:vAlign w:val="center"/>
          </w:tcPr>
          <w:p>
            <w:r/>
            <w:r>
              <w:rPr>
                <w:b w:val="0"/>
                <w:sz w:val="19"/>
              </w:rPr>
              <w:t>Visually distinct while remaining readable</w:t>
            </w:r>
          </w:p>
        </w:tc>
      </w:tr>
      <w:tr>
        <w:tc>
          <w:tcPr>
            <w:tcW w:type="dxa" w:w="5040"/>
            <w:vAlign w:val="center"/>
          </w:tcPr>
          <w:p>
            <w:r/>
            <w:r>
              <w:rPr>
                <w:b w:val="0"/>
                <w:sz w:val="19"/>
              </w:rPr>
              <w:t>Loading</w:t>
            </w:r>
          </w:p>
        </w:tc>
        <w:tc>
          <w:tcPr>
            <w:tcW w:type="dxa" w:w="5040"/>
            <w:vAlign w:val="center"/>
          </w:tcPr>
          <w:p>
            <w:r/>
            <w:r>
              <w:rPr>
                <w:b w:val="0"/>
                <w:sz w:val="19"/>
              </w:rPr>
              <w:t>Feedback without layout instability</w:t>
            </w:r>
          </w:p>
        </w:tc>
      </w:tr>
      <w:tr>
        <w:tc>
          <w:tcPr>
            <w:tcW w:type="dxa" w:w="5040"/>
            <w:vAlign w:val="center"/>
          </w:tcPr>
          <w:p>
            <w:r/>
            <w:r>
              <w:rPr>
                <w:b w:val="0"/>
                <w:sz w:val="19"/>
              </w:rPr>
              <w:t>Success / Error</w:t>
            </w:r>
          </w:p>
        </w:tc>
        <w:tc>
          <w:tcPr>
            <w:tcW w:type="dxa" w:w="5040"/>
            <w:vAlign w:val="center"/>
          </w:tcPr>
          <w:p>
            <w:r/>
            <w:r>
              <w:rPr>
                <w:b w:val="0"/>
                <w:sz w:val="19"/>
              </w:rPr>
              <w:t>Clear status using text or semantic cues, not color alone</w:t>
            </w:r>
          </w:p>
        </w:tc>
      </w:tr>
    </w:tbl>
    <w:p/>
    <w:p>
      <w:pPr>
        <w:pStyle w:val="Heading1"/>
        <w:spacing w:before="200" w:after="100"/>
      </w:pPr>
      <w:r>
        <w:t>11. Imagery, Iconography &amp; Media</w:t>
      </w:r>
    </w:p>
    <w:p>
      <w:pPr>
        <w:pStyle w:val="ListBullet"/>
        <w:spacing w:after="60"/>
      </w:pPr>
      <w:r>
        <w:t>Prefer authentic client photography when available and appropriate.</w:t>
      </w:r>
    </w:p>
    <w:p>
      <w:pPr>
        <w:pStyle w:val="ListBullet"/>
        <w:spacing w:after="60"/>
      </w:pPr>
      <w:r>
        <w:t>Use consistent image ratios within repeated content patterns.</w:t>
      </w:r>
    </w:p>
    <w:p>
      <w:pPr>
        <w:pStyle w:val="ListBullet"/>
        <w:spacing w:after="60"/>
      </w:pPr>
      <w:r>
        <w:t>Crop intentionally around the important subject or story focus.</w:t>
      </w:r>
    </w:p>
    <w:p>
      <w:pPr>
        <w:pStyle w:val="ListBullet"/>
        <w:spacing w:after="60"/>
      </w:pPr>
      <w:r>
        <w:t>Use overlays only when they support readability or composition.</w:t>
      </w:r>
    </w:p>
    <w:p>
      <w:pPr>
        <w:pStyle w:val="ListBullet"/>
        <w:spacing w:after="60"/>
      </w:pPr>
      <w:r>
        <w:t>Use one coherent icon family; avoid mixing unrelated visual styles.</w:t>
      </w:r>
    </w:p>
    <w:p>
      <w:pPr>
        <w:pStyle w:val="ListBullet"/>
        <w:spacing w:after="60"/>
      </w:pPr>
      <w:r>
        <w:t>Provide meaningful alternative text for informative images and treat decorative imagery appropriately.</w:t>
      </w:r>
    </w:p>
    <w:p>
      <w:pPr>
        <w:pStyle w:val="ListBullet"/>
        <w:spacing w:after="60"/>
      </w:pPr>
      <w:r>
        <w:t>Optimize images for dimensions, compression, responsive delivery, and loading behavior during implementation.</w:t>
      </w:r>
    </w:p>
    <w:p>
      <w:pPr>
        <w:pStyle w:val="Heading1"/>
        <w:spacing w:before="200" w:after="100"/>
      </w:pPr>
      <w:r>
        <w:t>12. Motion</w:t>
      </w:r>
    </w:p>
    <w:p>
      <w:r>
        <w:t>Motion should support hierarchy, continuity, orientation, or feedback. It should never become the main attraction of the interface.</w:t>
      </w:r>
    </w:p>
    <w:p>
      <w:pPr>
        <w:pStyle w:val="ListBullet"/>
        <w:spacing w:after="60"/>
      </w:pPr>
      <w:r>
        <w:t>Use a small, consistent set of reveal, hover, image, navigation, and transition behaviors.</w:t>
      </w:r>
    </w:p>
    <w:p>
      <w:pPr>
        <w:pStyle w:val="ListBullet"/>
        <w:spacing w:after="60"/>
      </w:pPr>
      <w:r>
        <w:t>Keep motion short and unobtrusive.</w:t>
      </w:r>
    </w:p>
    <w:p>
      <w:pPr>
        <w:pStyle w:val="ListBullet"/>
        <w:spacing w:after="60"/>
      </w:pPr>
      <w:r>
        <w:t>Do not delay access to important content.</w:t>
      </w:r>
    </w:p>
    <w:p>
      <w:pPr>
        <w:pStyle w:val="ListBullet"/>
        <w:spacing w:after="60"/>
      </w:pPr>
      <w:r>
        <w:t>Do not communicate essential information only through animation.</w:t>
      </w:r>
    </w:p>
    <w:p>
      <w:pPr>
        <w:pStyle w:val="ListBullet"/>
        <w:spacing w:after="60"/>
      </w:pPr>
      <w:r>
        <w:t>Respect prefers-reduced-motion.</w:t>
      </w:r>
    </w:p>
    <w:p>
      <w:r>
        <w:br w:type="page"/>
      </w:r>
    </w:p>
    <w:p>
      <w:pPr>
        <w:pStyle w:val="Heading1"/>
        <w:spacing w:before="200" w:after="100"/>
      </w:pPr>
      <w:r>
        <w:t>13. Responsive Behavior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9"/>
              </w:rPr>
              <w:t>Viewport</w:t>
            </w:r>
          </w:p>
        </w:tc>
        <w:tc>
          <w:tcPr>
            <w:tcW w:type="dxa" w:w="5040"/>
            <w:vAlign w:val="center"/>
            <w:shd w:fill="EDEDED"/>
          </w:tcPr>
          <w:p>
            <w:r/>
            <w:r>
              <w:rPr>
                <w:b/>
                <w:sz w:val="19"/>
              </w:rPr>
              <w:t>Design behavior</w:t>
            </w:r>
          </w:p>
        </w:tc>
      </w:tr>
      <w:tr>
        <w:tc>
          <w:tcPr>
            <w:tcW w:type="dxa" w:w="5040"/>
            <w:vAlign w:val="center"/>
          </w:tcPr>
          <w:p>
            <w:r/>
            <w:r>
              <w:rPr>
                <w:b w:val="0"/>
                <w:sz w:val="19"/>
              </w:rPr>
              <w:t>Desktop</w:t>
            </w:r>
          </w:p>
        </w:tc>
        <w:tc>
          <w:tcPr>
            <w:tcW w:type="dxa" w:w="5040"/>
            <w:vAlign w:val="center"/>
          </w:tcPr>
          <w:p>
            <w:r/>
            <w:r>
              <w:rPr>
                <w:b w:val="0"/>
                <w:sz w:val="19"/>
              </w:rPr>
              <w:t>Full grid, expanded navigation, richer composition, multi-column storytelling</w:t>
            </w:r>
          </w:p>
        </w:tc>
      </w:tr>
      <w:tr>
        <w:tc>
          <w:tcPr>
            <w:tcW w:type="dxa" w:w="5040"/>
            <w:vAlign w:val="center"/>
          </w:tcPr>
          <w:p>
            <w:r/>
            <w:r>
              <w:rPr>
                <w:b w:val="0"/>
                <w:sz w:val="19"/>
              </w:rPr>
              <w:t>Tablet</w:t>
            </w:r>
          </w:p>
        </w:tc>
        <w:tc>
          <w:tcPr>
            <w:tcW w:type="dxa" w:w="5040"/>
            <w:vAlign w:val="center"/>
          </w:tcPr>
          <w:p>
            <w:r/>
            <w:r>
              <w:rPr>
                <w:b w:val="0"/>
                <w:sz w:val="19"/>
              </w:rPr>
              <w:t>Rebalance columns, reduce complexity, preserve hierarchy</w:t>
            </w:r>
          </w:p>
        </w:tc>
      </w:tr>
      <w:tr>
        <w:tc>
          <w:tcPr>
            <w:tcW w:type="dxa" w:w="5040"/>
            <w:vAlign w:val="center"/>
          </w:tcPr>
          <w:p>
            <w:r/>
            <w:r>
              <w:rPr>
                <w:b w:val="0"/>
                <w:sz w:val="19"/>
              </w:rPr>
              <w:t>Mobile</w:t>
            </w:r>
          </w:p>
        </w:tc>
        <w:tc>
          <w:tcPr>
            <w:tcW w:type="dxa" w:w="5040"/>
            <w:vAlign w:val="center"/>
          </w:tcPr>
          <w:p>
            <w:r/>
            <w:r>
              <w:rPr>
                <w:b w:val="0"/>
                <w:sz w:val="19"/>
              </w:rPr>
              <w:t>Stack narratives, simplify navigation, protect readable type, maintain touch-friendly controls</w:t>
            </w:r>
          </w:p>
        </w:tc>
      </w:tr>
    </w:tbl>
    <w:p/>
    <w:p>
      <w:r>
        <w:t>Layouts must never introduce unintended horizontal scrolling. Image focal points, text hierarchy, CTA visibility, and content order should remain intentional at every supported width.</w:t>
      </w:r>
    </w:p>
    <w:p>
      <w:pPr>
        <w:pStyle w:val="Heading1"/>
        <w:spacing w:before="200" w:after="100"/>
      </w:pPr>
      <w:r>
        <w:t>14. Accessibility &amp; Performance</w:t>
      </w:r>
    </w:p>
    <w:p>
      <w:pPr>
        <w:pStyle w:val="ListBullet"/>
        <w:spacing w:after="60"/>
      </w:pPr>
      <w:r>
        <w:t>Use semantic heading order and semantic HTML.</w:t>
      </w:r>
    </w:p>
    <w:p>
      <w:pPr>
        <w:pStyle w:val="ListBullet"/>
        <w:spacing w:after="60"/>
      </w:pPr>
      <w:r>
        <w:t>Provide sufficient contrast for text and controls.</w:t>
      </w:r>
    </w:p>
    <w:p>
      <w:pPr>
        <w:pStyle w:val="ListBullet"/>
        <w:spacing w:after="60"/>
      </w:pPr>
      <w:r>
        <w:t>Keep keyboard focus visible.</w:t>
      </w:r>
    </w:p>
    <w:p>
      <w:pPr>
        <w:pStyle w:val="ListBullet"/>
        <w:spacing w:after="60"/>
      </w:pPr>
      <w:r>
        <w:t>Use accessible labels for controls and forms.</w:t>
      </w:r>
    </w:p>
    <w:p>
      <w:pPr>
        <w:pStyle w:val="ListBullet"/>
        <w:spacing w:after="60"/>
      </w:pPr>
      <w:r>
        <w:t>Ensure interactive targets are touch-friendly.</w:t>
      </w:r>
    </w:p>
    <w:p>
      <w:pPr>
        <w:pStyle w:val="ListBullet"/>
        <w:spacing w:after="60"/>
      </w:pPr>
      <w:r>
        <w:t>Do not rely on color alone to communicate status or meaning.</w:t>
      </w:r>
    </w:p>
    <w:p>
      <w:pPr>
        <w:pStyle w:val="ListBullet"/>
        <w:spacing w:after="60"/>
      </w:pPr>
      <w:r>
        <w:t>Respect reduced-motion preferences.</w:t>
      </w:r>
    </w:p>
    <w:p>
      <w:pPr>
        <w:pStyle w:val="ListBullet"/>
        <w:spacing w:after="60"/>
      </w:pPr>
      <w:r>
        <w:t>Use responsive images and lazy loading where appropriate.</w:t>
      </w:r>
    </w:p>
    <w:p>
      <w:pPr>
        <w:pStyle w:val="ListBullet"/>
        <w:spacing w:after="60"/>
      </w:pPr>
      <w:r>
        <w:t>Limit large video backgrounds and heavy effects to cases where their value justifies their cost.</w:t>
      </w:r>
    </w:p>
    <w:p>
      <w:pPr>
        <w:pStyle w:val="Heading1"/>
        <w:spacing w:before="200" w:after="100"/>
      </w:pPr>
      <w:r>
        <w:t>15. Template-Specific Visual Direction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
              <w:rPr>
                <w:b/>
                <w:sz w:val="19"/>
              </w:rPr>
              <w:t>Template</w:t>
            </w:r>
          </w:p>
        </w:tc>
        <w:tc>
          <w:tcPr>
            <w:tcW w:type="dxa" w:w="3360"/>
            <w:vAlign w:val="center"/>
            <w:shd w:fill="EDEDED"/>
          </w:tcPr>
          <w:p>
            <w:r/>
            <w:r>
              <w:rPr>
                <w:b/>
                <w:sz w:val="19"/>
              </w:rPr>
              <w:t>Design character</w:t>
            </w:r>
          </w:p>
        </w:tc>
        <w:tc>
          <w:tcPr>
            <w:tcW w:type="dxa" w:w="3360"/>
            <w:vAlign w:val="center"/>
            <w:shd w:fill="EDEDED"/>
          </w:tcPr>
          <w:p>
            <w:r/>
            <w:r>
              <w:rPr>
                <w:b/>
                <w:sz w:val="19"/>
              </w:rPr>
              <w:t>Signature patterns</w:t>
            </w:r>
          </w:p>
        </w:tc>
      </w:tr>
      <w:tr>
        <w:tc>
          <w:tcPr>
            <w:tcW w:type="dxa" w:w="3360"/>
            <w:vAlign w:val="center"/>
          </w:tcPr>
          <w:p>
            <w:r/>
            <w:r>
              <w:rPr>
                <w:b w:val="0"/>
                <w:sz w:val="19"/>
              </w:rPr>
              <w:t>Corporate Authority</w:t>
            </w:r>
          </w:p>
        </w:tc>
        <w:tc>
          <w:tcPr>
            <w:tcW w:type="dxa" w:w="3360"/>
            <w:vAlign w:val="center"/>
          </w:tcPr>
          <w:p>
            <w:r/>
            <w:r>
              <w:rPr>
                <w:b w:val="0"/>
                <w:sz w:val="19"/>
              </w:rPr>
              <w:t>Structured, powerful, established, dependable</w:t>
            </w:r>
          </w:p>
        </w:tc>
        <w:tc>
          <w:tcPr>
            <w:tcW w:type="dxa" w:w="3360"/>
            <w:vAlign w:val="center"/>
          </w:tcPr>
          <w:p>
            <w:r/>
            <w:r>
              <w:rPr>
                <w:b w:val="0"/>
                <w:sz w:val="19"/>
              </w:rPr>
              <w:t>Statistics, leadership, milestones, business units, recognition, strong corporate photography</w:t>
            </w:r>
          </w:p>
        </w:tc>
      </w:tr>
      <w:tr>
        <w:tc>
          <w:tcPr>
            <w:tcW w:type="dxa" w:w="3360"/>
            <w:vAlign w:val="center"/>
          </w:tcPr>
          <w:p>
            <w:r/>
            <w:r>
              <w:rPr>
                <w:b w:val="0"/>
                <w:sz w:val="19"/>
              </w:rPr>
              <w:t>Editorial Expertise</w:t>
            </w:r>
          </w:p>
        </w:tc>
        <w:tc>
          <w:tcPr>
            <w:tcW w:type="dxa" w:w="3360"/>
            <w:vAlign w:val="center"/>
          </w:tcPr>
          <w:p>
            <w:r/>
            <w:r>
              <w:rPr>
                <w:b w:val="0"/>
                <w:sz w:val="19"/>
              </w:rPr>
              <w:t>Intelligent, authoritative, content-rich, highly readable</w:t>
            </w:r>
          </w:p>
        </w:tc>
        <w:tc>
          <w:tcPr>
            <w:tcW w:type="dxa" w:w="3360"/>
            <w:vAlign w:val="center"/>
          </w:tcPr>
          <w:p>
            <w:r/>
            <w:r>
              <w:rPr>
                <w:b w:val="0"/>
                <w:sz w:val="19"/>
              </w:rPr>
              <w:t>Insights, publications, case studies, expert profiles, resource center, editorial storytelling</w:t>
            </w:r>
          </w:p>
        </w:tc>
      </w:tr>
      <w:tr>
        <w:tc>
          <w:tcPr>
            <w:tcW w:type="dxa" w:w="3360"/>
            <w:vAlign w:val="center"/>
          </w:tcPr>
          <w:p>
            <w:r/>
            <w:r>
              <w:rPr>
                <w:b w:val="0"/>
                <w:sz w:val="19"/>
              </w:rPr>
              <w:t>Premium Experience</w:t>
            </w:r>
          </w:p>
        </w:tc>
        <w:tc>
          <w:tcPr>
            <w:tcW w:type="dxa" w:w="3360"/>
            <w:vAlign w:val="center"/>
          </w:tcPr>
          <w:p>
            <w:r/>
            <w:r>
              <w:rPr>
                <w:b w:val="0"/>
                <w:sz w:val="19"/>
              </w:rPr>
              <w:t>Elegant, immersive, refined, memorable</w:t>
            </w:r>
          </w:p>
        </w:tc>
        <w:tc>
          <w:tcPr>
            <w:tcW w:type="dxa" w:w="3360"/>
            <w:vAlign w:val="center"/>
          </w:tcPr>
          <w:p>
            <w:r/>
            <w:r>
              <w:rPr>
                <w:b w:val="0"/>
                <w:sz w:val="19"/>
              </w:rPr>
              <w:t>Immersive hero, visual chapters, large imagery, premium galleries, restrained UI, brand statements</w:t>
            </w:r>
          </w:p>
        </w:tc>
      </w:tr>
    </w:tbl>
    <w:p/>
    <w:p>
      <w:r>
        <w:br w:type="page"/>
      </w:r>
    </w:p>
    <w:p>
      <w:pPr>
        <w:pStyle w:val="Heading1"/>
        <w:spacing w:before="200" w:after="100"/>
      </w:pPr>
      <w:r>
        <w:t>16. Shared vs Template vs Client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9"/>
              </w:rPr>
              <w:t>Rule layer</w:t>
            </w:r>
          </w:p>
        </w:tc>
        <w:tc>
          <w:tcPr>
            <w:tcW w:type="dxa" w:w="5040"/>
            <w:vAlign w:val="center"/>
            <w:shd w:fill="EDEDED"/>
          </w:tcPr>
          <w:p>
            <w:r/>
            <w:r>
              <w:rPr>
                <w:b/>
                <w:sz w:val="19"/>
              </w:rPr>
              <w:t>Meaning</w:t>
            </w:r>
          </w:p>
        </w:tc>
      </w:tr>
      <w:tr>
        <w:tc>
          <w:tcPr>
            <w:tcW w:type="dxa" w:w="5040"/>
            <w:vAlign w:val="center"/>
          </w:tcPr>
          <w:p>
            <w:r/>
            <w:r>
              <w:rPr>
                <w:b w:val="0"/>
                <w:sz w:val="19"/>
              </w:rPr>
              <w:t>Shared system</w:t>
            </w:r>
          </w:p>
        </w:tc>
        <w:tc>
          <w:tcPr>
            <w:tcW w:type="dxa" w:w="5040"/>
            <w:vAlign w:val="center"/>
          </w:tcPr>
          <w:p>
            <w:r/>
            <w:r>
              <w:rPr>
                <w:b w:val="0"/>
                <w:sz w:val="19"/>
              </w:rPr>
              <w:t>Reusable across Professional Presence templates and future clients</w:t>
            </w:r>
          </w:p>
        </w:tc>
      </w:tr>
      <w:tr>
        <w:tc>
          <w:tcPr>
            <w:tcW w:type="dxa" w:w="5040"/>
            <w:vAlign w:val="center"/>
          </w:tcPr>
          <w:p>
            <w:r/>
            <w:r>
              <w:rPr>
                <w:b w:val="0"/>
                <w:sz w:val="19"/>
              </w:rPr>
              <w:t>Template rule</w:t>
            </w:r>
          </w:p>
        </w:tc>
        <w:tc>
          <w:tcPr>
            <w:tcW w:type="dxa" w:w="5040"/>
            <w:vAlign w:val="center"/>
          </w:tcPr>
          <w:p>
            <w:r/>
            <w:r>
              <w:rPr>
                <w:b w:val="0"/>
                <w:sz w:val="19"/>
              </w:rPr>
              <w:t>Defines the visual language of Corporate Authority, Editorial Expertise, or Premium Experience</w:t>
            </w:r>
          </w:p>
        </w:tc>
      </w:tr>
      <w:tr>
        <w:tc>
          <w:tcPr>
            <w:tcW w:type="dxa" w:w="5040"/>
            <w:vAlign w:val="center"/>
          </w:tcPr>
          <w:p>
            <w:r/>
            <w:r>
              <w:rPr>
                <w:b w:val="0"/>
                <w:sz w:val="19"/>
              </w:rPr>
              <w:t>Client brand rule</w:t>
            </w:r>
          </w:p>
        </w:tc>
        <w:tc>
          <w:tcPr>
            <w:tcW w:type="dxa" w:w="5040"/>
            <w:vAlign w:val="center"/>
          </w:tcPr>
          <w:p>
            <w:r/>
            <w:r>
              <w:rPr>
                <w:b w:val="0"/>
                <w:sz w:val="19"/>
              </w:rPr>
              <w:t>Applies the approved client identity such as logo, brand colors, photography, and type requirements</w:t>
            </w:r>
          </w:p>
        </w:tc>
      </w:tr>
      <w:tr>
        <w:tc>
          <w:tcPr>
            <w:tcW w:type="dxa" w:w="5040"/>
            <w:vAlign w:val="center"/>
          </w:tcPr>
          <w:p>
            <w:r/>
            <w:r>
              <w:rPr>
                <w:b w:val="0"/>
                <w:sz w:val="19"/>
              </w:rPr>
              <w:t>Project exception</w:t>
            </w:r>
          </w:p>
        </w:tc>
        <w:tc>
          <w:tcPr>
            <w:tcW w:type="dxa" w:w="5040"/>
            <w:vAlign w:val="center"/>
          </w:tcPr>
          <w:p>
            <w:r/>
            <w:r>
              <w:rPr>
                <w:b w:val="0"/>
                <w:sz w:val="19"/>
              </w:rPr>
              <w:t>Allowed only when justified by content or experience needs and documented</w:t>
            </w:r>
          </w:p>
        </w:tc>
      </w:tr>
    </w:tbl>
    <w:p/>
    <w:p>
      <w:r>
        <w:t>This prevents template drift while still allowing a premium project to feel genuinely customized.</w:t>
      </w:r>
    </w:p>
    <w:p>
      <w:pPr>
        <w:pStyle w:val="Heading1"/>
        <w:spacing w:before="200" w:after="100"/>
      </w:pPr>
      <w:r>
        <w:t>17. Design Anti-Patterns</w:t>
      </w:r>
    </w:p>
    <w:p>
      <w:pPr>
        <w:pStyle w:val="ListBullet"/>
        <w:spacing w:after="60"/>
      </w:pPr>
      <w:r>
        <w:t>Too many fonts or inconsistent weights.</w:t>
      </w:r>
    </w:p>
    <w:p>
      <w:pPr>
        <w:pStyle w:val="ListBullet"/>
        <w:spacing w:after="60"/>
      </w:pPr>
      <w:r>
        <w:t>Arbitrary colors or extra accent colors without justification.</w:t>
      </w:r>
    </w:p>
    <w:p>
      <w:pPr>
        <w:pStyle w:val="ListBullet"/>
        <w:spacing w:after="60"/>
      </w:pPr>
      <w:r>
        <w:t>Every section becoming a card grid.</w:t>
      </w:r>
    </w:p>
    <w:p>
      <w:pPr>
        <w:pStyle w:val="ListBullet"/>
        <w:spacing w:after="60"/>
      </w:pPr>
      <w:r>
        <w:t>Excessive shadows, gradients, or decorative effects.</w:t>
      </w:r>
    </w:p>
    <w:p>
      <w:pPr>
        <w:pStyle w:val="ListBullet"/>
        <w:spacing w:after="60"/>
      </w:pPr>
      <w:r>
        <w:t>Random spacing or inconsistent radius values.</w:t>
      </w:r>
    </w:p>
    <w:p>
      <w:pPr>
        <w:pStyle w:val="ListBullet"/>
        <w:spacing w:after="60"/>
      </w:pPr>
      <w:r>
        <w:t>Oversized or overcomplicated navigation.</w:t>
      </w:r>
    </w:p>
    <w:p>
      <w:pPr>
        <w:pStyle w:val="ListBullet"/>
        <w:spacing w:after="60"/>
      </w:pPr>
      <w:r>
        <w:t>Weak mobile composition or horizontal overflow.</w:t>
      </w:r>
    </w:p>
    <w:p>
      <w:pPr>
        <w:pStyle w:val="ListBullet"/>
        <w:spacing w:after="60"/>
      </w:pPr>
      <w:r>
        <w:t>Unrelated icon styles.</w:t>
      </w:r>
    </w:p>
    <w:p>
      <w:pPr>
        <w:pStyle w:val="ListBullet"/>
        <w:spacing w:after="60"/>
      </w:pPr>
      <w:r>
        <w:t>Motion that harms usability or performance.</w:t>
      </w:r>
    </w:p>
    <w:p>
      <w:pPr>
        <w:pStyle w:val="Heading1"/>
        <w:spacing w:before="200" w:after="100"/>
      </w:pPr>
      <w:r>
        <w:t>18. Evidence &amp; Confidence Rule</w:t>
      </w:r>
    </w:p>
    <w:p>
      <w:r>
        <w:t>When exact values are not yet known, distinguish confirmed values from estimates during the example-client design build. Repeated measurements and repeated component patterns should be preferred over single visual observations. Client-specific token values should not be presented as universal package values.</w:t>
      </w:r>
    </w:p>
    <w:p>
      <w:pPr>
        <w:pStyle w:val="Heading1"/>
        <w:spacing w:before="200" w:after="100"/>
      </w:pPr>
      <w:r>
        <w:t>19. Phase 3 Completion Criteria</w:t>
      </w:r>
    </w:p>
    <w:p>
      <w:pPr>
        <w:pStyle w:val="ListBullet"/>
        <w:spacing w:after="60"/>
      </w:pPr>
      <w:r>
        <w:t>Shared design character is defined.</w:t>
      </w:r>
    </w:p>
    <w:p>
      <w:pPr>
        <w:pStyle w:val="ListBullet"/>
        <w:spacing w:after="60"/>
      </w:pPr>
      <w:r>
        <w:t>Token categories and semantic roles are defined.</w:t>
      </w:r>
    </w:p>
    <w:p>
      <w:pPr>
        <w:pStyle w:val="ListBullet"/>
        <w:spacing w:after="60"/>
      </w:pPr>
      <w:r>
        <w:t>Typography and spacing rules are defined.</w:t>
      </w:r>
    </w:p>
    <w:p>
      <w:pPr>
        <w:pStyle w:val="ListBullet"/>
        <w:spacing w:after="60"/>
      </w:pPr>
      <w:r>
        <w:t>Grid, composition, and responsive behavior are defined.</w:t>
      </w:r>
    </w:p>
    <w:p>
      <w:pPr>
        <w:pStyle w:val="ListBullet"/>
        <w:spacing w:after="60"/>
      </w:pPr>
      <w:r>
        <w:t>Navigation, hero, interaction states, imagery, and motion rules are defined.</w:t>
      </w:r>
    </w:p>
    <w:p>
      <w:pPr>
        <w:pStyle w:val="ListBullet"/>
        <w:spacing w:after="60"/>
      </w:pPr>
      <w:r>
        <w:t>Accessibility and performance constraints are defined.</w:t>
      </w:r>
    </w:p>
    <w:p>
      <w:pPr>
        <w:pStyle w:val="ListBullet"/>
        <w:spacing w:after="60"/>
      </w:pPr>
      <w:r>
        <w:t>The three templates are clearly differentiated.</w:t>
      </w:r>
    </w:p>
    <w:p>
      <w:pPr>
        <w:pStyle w:val="ListBullet"/>
        <w:spacing w:after="60"/>
      </w:pPr>
      <w:r>
        <w:t>Shared, template-specific, and client-specific rules are separated.</w:t>
      </w:r>
    </w:p>
    <w:p>
      <w:pPr>
        <w:pStyle w:val="ListBullet"/>
        <w:spacing w:after="60"/>
      </w:pPr>
      <w:r>
        <w:t>The system is detailed enough to guide Page Template Specification without inventing major visual rules later.</w:t>
      </w:r>
    </w:p>
    <w:p>
      <w:pPr>
        <w:pStyle w:val="Heading1"/>
        <w:spacing w:before="200" w:after="100"/>
      </w:pPr>
      <w:r>
        <w:t>20. Next Phase</w:t>
      </w:r>
    </w:p>
    <w:p>
      <w:r>
        <w:t>The next phase is Phase 4 — Page Template Specification. It will translate this design system and the approved Information Architecture into concrete page structures for Corporate Authority, Editorial Expertise, and Premium Experience. Detailed component anatomy will be finalized in Phase 5 — Component System.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3 Design System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