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24D"/>
          <w:sz w:val="30"/>
        </w:rPr>
        <w:t>PACKAGE 3 — PROFESSIONAL PRESENCE</w:t>
      </w:r>
    </w:p>
    <w:p>
      <w:pPr>
        <w:jc w:val="center"/>
      </w:pPr>
      <w:r>
        <w:rPr>
          <w:b/>
          <w:color w:val="A86B32"/>
          <w:sz w:val="44"/>
        </w:rPr>
        <w:t>Phase 7 — Marketing / SEO / Analytics</w:t>
      </w:r>
    </w:p>
    <w:p>
      <w:pPr>
        <w:jc w:val="center"/>
      </w:pPr>
      <w:r>
        <w:rPr>
          <w:i/>
        </w:rPr>
        <w:t>Version 1.0</w:t>
      </w:r>
    </w:p>
    <w:p>
      <w:pPr>
        <w:pStyle w:val="IntenseQuote"/>
      </w:pPr>
      <w:r>
        <w:t>Workflow: Package Definition ✓ → IA &amp; Routing ✓ → Design System ✓ → Page Template Specification ✓ → Component System ✓ → Content Model ✓ → Marketing / SEO / Analytics</w:t>
      </w:r>
    </w:p>
    <w:p>
      <w:pPr>
        <w:pStyle w:val="Heading1"/>
      </w:pPr>
      <w:r>
        <w:t>1. Purpose</w:t>
      </w:r>
    </w:p>
    <w:p>
      <w:r>
        <w:t>This phase defines how a Professional Presence website should support discoverability, credibility, lead generation, and measurement. It establishes marketing and SEO requirements at the product/content level without moving into technical implementation, performance engineering, or deployment.</w:t>
      </w:r>
    </w:p>
    <w:p>
      <w:pPr>
        <w:pStyle w:val="Heading1"/>
      </w:pPr>
      <w:r>
        <w:t>2. Marketing Positioning</w:t>
      </w:r>
    </w:p>
    <w:p>
      <w:r>
        <w:t>Professional Presence is not treated as a campaign landing page. Marketing should support the long-term corporate brand, make important information discoverable, and create clear paths for qualified users to take the next step.</w:t>
      </w:r>
    </w:p>
    <w:tbl>
      <w:tblPr>
        <w:tblStyle w:val="TableGrid"/>
        <w:tblW w:type="auto" w:w="0"/>
        <w:jc w:val="center"/>
        <w:tblLook w:firstColumn="1" w:firstRow="1" w:lastColumn="0" w:lastRow="0" w:noHBand="0" w:noVBand="1" w:val="04A0"/>
      </w:tblPr>
      <w:tblGrid>
        <w:gridCol w:w="5112"/>
        <w:gridCol w:w="5112"/>
      </w:tblGrid>
      <w:tr>
        <w:tc>
          <w:tcPr>
            <w:tcW w:type="dxa" w:w="5112"/>
            <w:shd w:fill="17324D"/>
          </w:tcPr>
          <w:p>
            <w:r>
              <w:rPr>
                <w:b/>
                <w:color w:val="FFFFFF"/>
                <w:sz w:val="18"/>
              </w:rPr>
              <w:t>Goal</w:t>
            </w:r>
          </w:p>
        </w:tc>
        <w:tc>
          <w:tcPr>
            <w:tcW w:type="dxa" w:w="5112"/>
            <w:shd w:fill="17324D"/>
          </w:tcPr>
          <w:p>
            <w:r>
              <w:rPr>
                <w:b/>
                <w:color w:val="FFFFFF"/>
                <w:sz w:val="18"/>
              </w:rPr>
              <w:t>Website role</w:t>
            </w:r>
          </w:p>
        </w:tc>
      </w:tr>
      <w:tr>
        <w:tc>
          <w:tcPr>
            <w:tcW w:type="dxa" w:w="5112"/>
            <w:vAlign w:val="top"/>
          </w:tcPr>
          <w:p>
            <w:r>
              <w:rPr>
                <w:sz w:val="17"/>
              </w:rPr>
              <w:t>Brand visibility</w:t>
            </w:r>
          </w:p>
        </w:tc>
        <w:tc>
          <w:tcPr>
            <w:tcW w:type="dxa" w:w="5112"/>
            <w:vAlign w:val="top"/>
          </w:tcPr>
          <w:p>
            <w:r>
              <w:rPr>
                <w:sz w:val="17"/>
              </w:rPr>
              <w:t>Present the organization consistently and strengthen recognition.</w:t>
            </w:r>
          </w:p>
        </w:tc>
      </w:tr>
      <w:tr>
        <w:tc>
          <w:tcPr>
            <w:tcW w:type="dxa" w:w="5112"/>
            <w:vAlign w:val="top"/>
          </w:tcPr>
          <w:p>
            <w:r>
              <w:rPr>
                <w:sz w:val="17"/>
              </w:rPr>
              <w:t>Organic discovery</w:t>
            </w:r>
          </w:p>
        </w:tc>
        <w:tc>
          <w:tcPr>
            <w:tcW w:type="dxa" w:w="5112"/>
            <w:vAlign w:val="top"/>
          </w:tcPr>
          <w:p>
            <w:r>
              <w:rPr>
                <w:sz w:val="17"/>
              </w:rPr>
              <w:t>Help relevant users find corporate, service, project, resource, and editorial content.</w:t>
            </w:r>
          </w:p>
        </w:tc>
      </w:tr>
      <w:tr>
        <w:tc>
          <w:tcPr>
            <w:tcW w:type="dxa" w:w="5112"/>
            <w:vAlign w:val="top"/>
          </w:tcPr>
          <w:p>
            <w:r>
              <w:rPr>
                <w:sz w:val="17"/>
              </w:rPr>
              <w:t>Credibility</w:t>
            </w:r>
          </w:p>
        </w:tc>
        <w:tc>
          <w:tcPr>
            <w:tcW w:type="dxa" w:w="5112"/>
            <w:vAlign w:val="top"/>
          </w:tcPr>
          <w:p>
            <w:r>
              <w:rPr>
                <w:sz w:val="17"/>
              </w:rPr>
              <w:t>Use evidence, expertise, recognition, and useful content to support trust.</w:t>
            </w:r>
          </w:p>
        </w:tc>
      </w:tr>
      <w:tr>
        <w:tc>
          <w:tcPr>
            <w:tcW w:type="dxa" w:w="5112"/>
            <w:vAlign w:val="top"/>
          </w:tcPr>
          <w:p>
            <w:r>
              <w:rPr>
                <w:sz w:val="17"/>
              </w:rPr>
              <w:t>Lead generation</w:t>
            </w:r>
          </w:p>
        </w:tc>
        <w:tc>
          <w:tcPr>
            <w:tcW w:type="dxa" w:w="5112"/>
            <w:vAlign w:val="top"/>
          </w:tcPr>
          <w:p>
            <w:r>
              <w:rPr>
                <w:sz w:val="17"/>
              </w:rPr>
              <w:t>Create clear pathways for inquiries, RFQs, appointments, partnerships, or other agreed conversions.</w:t>
            </w:r>
          </w:p>
        </w:tc>
      </w:tr>
      <w:tr>
        <w:tc>
          <w:tcPr>
            <w:tcW w:type="dxa" w:w="5112"/>
            <w:vAlign w:val="top"/>
          </w:tcPr>
          <w:p>
            <w:r>
              <w:rPr>
                <w:sz w:val="17"/>
              </w:rPr>
              <w:t>Relationship building</w:t>
            </w:r>
          </w:p>
        </w:tc>
        <w:tc>
          <w:tcPr>
            <w:tcW w:type="dxa" w:w="5112"/>
            <w:vAlign w:val="top"/>
          </w:tcPr>
          <w:p>
            <w:r>
              <w:rPr>
                <w:sz w:val="17"/>
              </w:rPr>
              <w:t>Support repeat visits through news, resources, insights, careers, and ongoing content.</w:t>
            </w:r>
          </w:p>
        </w:tc>
      </w:tr>
      <w:tr>
        <w:tc>
          <w:tcPr>
            <w:tcW w:type="dxa" w:w="5112"/>
            <w:vAlign w:val="top"/>
          </w:tcPr>
          <w:p>
            <w:r>
              <w:rPr>
                <w:sz w:val="17"/>
              </w:rPr>
              <w:t>Measurement</w:t>
            </w:r>
          </w:p>
        </w:tc>
        <w:tc>
          <w:tcPr>
            <w:tcW w:type="dxa" w:w="5112"/>
            <w:vAlign w:val="top"/>
          </w:tcPr>
          <w:p>
            <w:r>
              <w:rPr>
                <w:sz w:val="17"/>
              </w:rPr>
              <w:t>Track whether important user journeys and business goals are being achieved.</w:t>
            </w:r>
          </w:p>
        </w:tc>
      </w:tr>
    </w:tbl>
    <w:p/>
    <w:p>
      <w:pPr>
        <w:pStyle w:val="Heading1"/>
      </w:pPr>
      <w:r>
        <w:t>3. Audience &amp; Search Intent</w:t>
      </w:r>
    </w:p>
    <w:p>
      <w:r>
        <w:t>SEO and marketing structure should reflect the audiences already defined in Information Architecture and Content Model. Each important audience should have clear entry points and content that matches its likely intent.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24D"/>
          </w:tcPr>
          <w:p>
            <w:r>
              <w:rPr>
                <w:b/>
                <w:color w:val="FFFFFF"/>
                <w:sz w:val="18"/>
              </w:rPr>
              <w:t>Audience</w:t>
            </w:r>
          </w:p>
        </w:tc>
        <w:tc>
          <w:tcPr>
            <w:tcW w:type="dxa" w:w="3408"/>
            <w:shd w:fill="17324D"/>
          </w:tcPr>
          <w:p>
            <w:r>
              <w:rPr>
                <w:b/>
                <w:color w:val="FFFFFF"/>
                <w:sz w:val="18"/>
              </w:rPr>
              <w:t>Typical intent</w:t>
            </w:r>
          </w:p>
        </w:tc>
        <w:tc>
          <w:tcPr>
            <w:tcW w:type="dxa" w:w="3408"/>
            <w:shd w:fill="17324D"/>
          </w:tcPr>
          <w:p>
            <w:r>
              <w:rPr>
                <w:b/>
                <w:color w:val="FFFFFF"/>
                <w:sz w:val="18"/>
              </w:rPr>
              <w:t>Useful content</w:t>
            </w:r>
          </w:p>
        </w:tc>
      </w:tr>
      <w:tr>
        <w:tc>
          <w:tcPr>
            <w:tcW w:type="dxa" w:w="3408"/>
            <w:vAlign w:val="top"/>
          </w:tcPr>
          <w:p>
            <w:r>
              <w:rPr>
                <w:sz w:val="17"/>
              </w:rPr>
              <w:t>Prospective customer</w:t>
            </w:r>
          </w:p>
        </w:tc>
        <w:tc>
          <w:tcPr>
            <w:tcW w:type="dxa" w:w="3408"/>
            <w:vAlign w:val="top"/>
          </w:tcPr>
          <w:p>
            <w:r>
              <w:rPr>
                <w:sz w:val="17"/>
              </w:rPr>
              <w:t>Evaluate capability or request information</w:t>
            </w:r>
          </w:p>
        </w:tc>
        <w:tc>
          <w:tcPr>
            <w:tcW w:type="dxa" w:w="3408"/>
            <w:vAlign w:val="top"/>
          </w:tcPr>
          <w:p>
            <w:r>
              <w:rPr>
                <w:sz w:val="17"/>
              </w:rPr>
              <w:t>Services, products, projects, case studies, RFQ, contact</w:t>
            </w:r>
          </w:p>
        </w:tc>
      </w:tr>
      <w:tr>
        <w:tc>
          <w:tcPr>
            <w:tcW w:type="dxa" w:w="3408"/>
            <w:vAlign w:val="top"/>
          </w:tcPr>
          <w:p>
            <w:r>
              <w:rPr>
                <w:sz w:val="17"/>
              </w:rPr>
              <w:t>Partner / supplier</w:t>
            </w:r>
          </w:p>
        </w:tc>
        <w:tc>
          <w:tcPr>
            <w:tcW w:type="dxa" w:w="3408"/>
            <w:vAlign w:val="top"/>
          </w:tcPr>
          <w:p>
            <w:r>
              <w:rPr>
                <w:sz w:val="17"/>
              </w:rPr>
              <w:t>Understand organization and relationship opportunity</w:t>
            </w:r>
          </w:p>
        </w:tc>
        <w:tc>
          <w:tcPr>
            <w:tcW w:type="dxa" w:w="3408"/>
            <w:vAlign w:val="top"/>
          </w:tcPr>
          <w:p>
            <w:r>
              <w:rPr>
                <w:sz w:val="17"/>
              </w:rPr>
              <w:t>About, business units, capabilities, contact</w:t>
            </w:r>
          </w:p>
        </w:tc>
      </w:tr>
      <w:tr>
        <w:tc>
          <w:tcPr>
            <w:tcW w:type="dxa" w:w="3408"/>
            <w:vAlign w:val="top"/>
          </w:tcPr>
          <w:p>
            <w:r>
              <w:rPr>
                <w:sz w:val="17"/>
              </w:rPr>
              <w:t>Job applicant</w:t>
            </w:r>
          </w:p>
        </w:tc>
        <w:tc>
          <w:tcPr>
            <w:tcW w:type="dxa" w:w="3408"/>
            <w:vAlign w:val="top"/>
          </w:tcPr>
          <w:p>
            <w:r>
              <w:rPr>
                <w:sz w:val="17"/>
              </w:rPr>
              <w:t>Evaluate employer and open opportunities</w:t>
            </w:r>
          </w:p>
        </w:tc>
        <w:tc>
          <w:tcPr>
            <w:tcW w:type="dxa" w:w="3408"/>
            <w:vAlign w:val="top"/>
          </w:tcPr>
          <w:p>
            <w:r>
              <w:rPr>
                <w:sz w:val="17"/>
              </w:rPr>
              <w:t>Careers, culture, opportunities</w:t>
            </w:r>
          </w:p>
        </w:tc>
      </w:tr>
      <w:tr>
        <w:tc>
          <w:tcPr>
            <w:tcW w:type="dxa" w:w="3408"/>
            <w:vAlign w:val="top"/>
          </w:tcPr>
          <w:p>
            <w:r>
              <w:rPr>
                <w:sz w:val="17"/>
              </w:rPr>
              <w:t>Media / public</w:t>
            </w:r>
          </w:p>
        </w:tc>
        <w:tc>
          <w:tcPr>
            <w:tcW w:type="dxa" w:w="3408"/>
            <w:vAlign w:val="top"/>
          </w:tcPr>
          <w:p>
            <w:r>
              <w:rPr>
                <w:sz w:val="17"/>
              </w:rPr>
              <w:t>Find current facts and official materials</w:t>
            </w:r>
          </w:p>
        </w:tc>
        <w:tc>
          <w:tcPr>
            <w:tcW w:type="dxa" w:w="3408"/>
            <w:vAlign w:val="top"/>
          </w:tcPr>
          <w:p>
            <w:r>
              <w:rPr>
                <w:sz w:val="17"/>
              </w:rPr>
              <w:t>News, media kit, leadership, resources</w:t>
            </w:r>
          </w:p>
        </w:tc>
      </w:tr>
      <w:tr>
        <w:tc>
          <w:tcPr>
            <w:tcW w:type="dxa" w:w="3408"/>
            <w:vAlign w:val="top"/>
          </w:tcPr>
          <w:p>
            <w:r>
              <w:rPr>
                <w:sz w:val="17"/>
              </w:rPr>
              <w:t>Professional / researcher</w:t>
            </w:r>
          </w:p>
        </w:tc>
        <w:tc>
          <w:tcPr>
            <w:tcW w:type="dxa" w:w="3408"/>
            <w:vAlign w:val="top"/>
          </w:tcPr>
          <w:p>
            <w:r>
              <w:rPr>
                <w:sz w:val="17"/>
              </w:rPr>
              <w:t>Find expertise and knowledge</w:t>
            </w:r>
          </w:p>
        </w:tc>
        <w:tc>
          <w:tcPr>
            <w:tcW w:type="dxa" w:w="3408"/>
            <w:vAlign w:val="top"/>
          </w:tcPr>
          <w:p>
            <w:r>
              <w:rPr>
                <w:sz w:val="17"/>
              </w:rPr>
              <w:t>Insights, publications, experts, projects</w:t>
            </w:r>
          </w:p>
        </w:tc>
      </w:tr>
      <w:tr>
        <w:tc>
          <w:tcPr>
            <w:tcW w:type="dxa" w:w="3408"/>
            <w:vAlign w:val="top"/>
          </w:tcPr>
          <w:p>
            <w:r>
              <w:rPr>
                <w:sz w:val="17"/>
              </w:rPr>
              <w:t>Local / branch visitor</w:t>
            </w:r>
          </w:p>
        </w:tc>
        <w:tc>
          <w:tcPr>
            <w:tcW w:type="dxa" w:w="3408"/>
            <w:vAlign w:val="top"/>
          </w:tcPr>
          <w:p>
            <w:r>
              <w:rPr>
                <w:sz w:val="17"/>
              </w:rPr>
              <w:t>Find an office or direct contact</w:t>
            </w:r>
          </w:p>
        </w:tc>
        <w:tc>
          <w:tcPr>
            <w:tcW w:type="dxa" w:w="3408"/>
            <w:vAlign w:val="top"/>
          </w:tcPr>
          <w:p>
            <w:r>
              <w:rPr>
                <w:sz w:val="17"/>
              </w:rPr>
              <w:t>Locations, hours, phone, map, department contact</w:t>
            </w:r>
          </w:p>
        </w:tc>
      </w:tr>
    </w:tbl>
    <w:p/>
    <w:p>
      <w:pPr>
        <w:pStyle w:val="Heading1"/>
      </w:pPr>
      <w:r>
        <w:t>4. SEO Foundation</w:t>
      </w:r>
    </w:p>
    <w:p>
      <w:pPr>
        <w:pStyle w:val="Heading2"/>
      </w:pPr>
      <w:r>
        <w:t>4.1 Site-wide requirements</w:t>
      </w:r>
    </w:p>
    <w:p>
      <w:pPr>
        <w:pStyle w:val="ListBullet"/>
      </w:pPr>
      <w:r>
        <w:t>Use a clear, logical information architecture that search engines and users can understand.</w:t>
      </w:r>
    </w:p>
    <w:p>
      <w:pPr>
        <w:pStyle w:val="ListBullet"/>
      </w:pPr>
      <w:r>
        <w:t>Give every important indexable page a unique, meaningful title and description.</w:t>
      </w:r>
    </w:p>
    <w:p>
      <w:pPr>
        <w:pStyle w:val="ListBullet"/>
      </w:pPr>
      <w:r>
        <w:t>Use one clear primary heading per page and logical subheadings.</w:t>
      </w:r>
    </w:p>
    <w:p>
      <w:pPr>
        <w:pStyle w:val="ListBullet"/>
      </w:pPr>
      <w:r>
        <w:t>Keep URLs readable, stable, and aligned with the approved routing structure.</w:t>
      </w:r>
    </w:p>
    <w:p>
      <w:pPr>
        <w:pStyle w:val="ListBullet"/>
      </w:pPr>
      <w:r>
        <w:t>Create strong internal links between related content types.</w:t>
      </w:r>
    </w:p>
    <w:p>
      <w:pPr>
        <w:pStyle w:val="ListBullet"/>
      </w:pPr>
      <w:r>
        <w:t>Use descriptive anchor text rather than vague labels such as “click here”.</w:t>
      </w:r>
    </w:p>
    <w:p>
      <w:pPr>
        <w:pStyle w:val="ListBullet"/>
      </w:pPr>
      <w:r>
        <w:t>Provide meaningful image alternative text where imagery carries information.</w:t>
      </w:r>
    </w:p>
    <w:p>
      <w:pPr>
        <w:pStyle w:val="ListBullet"/>
      </w:pPr>
      <w:r>
        <w:t>Use canonical URLs where duplicate or near-duplicate access paths could occur.</w:t>
      </w:r>
    </w:p>
    <w:p>
      <w:pPr>
        <w:pStyle w:val="ListBullet"/>
      </w:pPr>
      <w:r>
        <w:t>Create XML sitemap and robots directives during implementation.</w:t>
      </w:r>
    </w:p>
    <w:p>
      <w:pPr>
        <w:pStyle w:val="ListBullet"/>
      </w:pPr>
      <w:r>
        <w:t>Connect the site to Google Search Console for indexing and search monitoring.</w:t>
      </w:r>
    </w:p>
    <w:p>
      <w:pPr>
        <w:pStyle w:val="Heading2"/>
      </w:pPr>
      <w:r>
        <w:t>4.2 Page-level SEO requirements</w:t>
      </w:r>
    </w:p>
    <w:tbl>
      <w:tblPr>
        <w:tblStyle w:val="TableGrid"/>
        <w:tblW w:type="auto" w:w="0"/>
        <w:jc w:val="center"/>
        <w:tblLook w:firstColumn="1" w:firstRow="1" w:lastColumn="0" w:lastRow="0" w:noHBand="0" w:noVBand="1" w:val="04A0"/>
      </w:tblPr>
      <w:tblGrid>
        <w:gridCol w:w="5112"/>
        <w:gridCol w:w="5112"/>
      </w:tblGrid>
      <w:tr>
        <w:tc>
          <w:tcPr>
            <w:tcW w:type="dxa" w:w="5112"/>
            <w:shd w:fill="17324D"/>
          </w:tcPr>
          <w:p>
            <w:r>
              <w:rPr>
                <w:b/>
                <w:color w:val="FFFFFF"/>
                <w:sz w:val="18"/>
              </w:rPr>
              <w:t>Page type</w:t>
            </w:r>
          </w:p>
        </w:tc>
        <w:tc>
          <w:tcPr>
            <w:tcW w:type="dxa" w:w="5112"/>
            <w:shd w:fill="17324D"/>
          </w:tcPr>
          <w:p>
            <w:r>
              <w:rPr>
                <w:b/>
                <w:color w:val="FFFFFF"/>
                <w:sz w:val="18"/>
              </w:rPr>
              <w:t>SEO focus</w:t>
            </w:r>
          </w:p>
        </w:tc>
      </w:tr>
      <w:tr>
        <w:tc>
          <w:tcPr>
            <w:tcW w:type="dxa" w:w="5112"/>
            <w:vAlign w:val="top"/>
          </w:tcPr>
          <w:p>
            <w:r>
              <w:rPr>
                <w:sz w:val="17"/>
              </w:rPr>
              <w:t>Homepage</w:t>
            </w:r>
          </w:p>
        </w:tc>
        <w:tc>
          <w:tcPr>
            <w:tcW w:type="dxa" w:w="5112"/>
            <w:vAlign w:val="top"/>
          </w:tcPr>
          <w:p>
            <w:r>
              <w:rPr>
                <w:sz w:val="17"/>
              </w:rPr>
              <w:t>Organization positioning, primary brand/entity terms, core audience entry points</w:t>
            </w:r>
          </w:p>
        </w:tc>
      </w:tr>
      <w:tr>
        <w:tc>
          <w:tcPr>
            <w:tcW w:type="dxa" w:w="5112"/>
            <w:vAlign w:val="top"/>
          </w:tcPr>
          <w:p>
            <w:r>
              <w:rPr>
                <w:sz w:val="17"/>
              </w:rPr>
              <w:t>Service / product</w:t>
            </w:r>
          </w:p>
        </w:tc>
        <w:tc>
          <w:tcPr>
            <w:tcW w:type="dxa" w:w="5112"/>
            <w:vAlign w:val="top"/>
          </w:tcPr>
          <w:p>
            <w:r>
              <w:rPr>
                <w:sz w:val="17"/>
              </w:rPr>
              <w:t>Specific offering intent, benefits, proof, location/industry relevance where appropriate</w:t>
            </w:r>
          </w:p>
        </w:tc>
      </w:tr>
      <w:tr>
        <w:tc>
          <w:tcPr>
            <w:tcW w:type="dxa" w:w="5112"/>
            <w:vAlign w:val="top"/>
          </w:tcPr>
          <w:p>
            <w:r>
              <w:rPr>
                <w:sz w:val="17"/>
              </w:rPr>
              <w:t>Project / case study</w:t>
            </w:r>
          </w:p>
        </w:tc>
        <w:tc>
          <w:tcPr>
            <w:tcW w:type="dxa" w:w="5112"/>
            <w:vAlign w:val="top"/>
          </w:tcPr>
          <w:p>
            <w:r>
              <w:rPr>
                <w:sz w:val="17"/>
              </w:rPr>
              <w:t>Project-specific intent, location, industry, capability, evidence</w:t>
            </w:r>
          </w:p>
        </w:tc>
      </w:tr>
      <w:tr>
        <w:tc>
          <w:tcPr>
            <w:tcW w:type="dxa" w:w="5112"/>
            <w:vAlign w:val="top"/>
          </w:tcPr>
          <w:p>
            <w:r>
              <w:rPr>
                <w:sz w:val="17"/>
              </w:rPr>
              <w:t>Insight / news</w:t>
            </w:r>
          </w:p>
        </w:tc>
        <w:tc>
          <w:tcPr>
            <w:tcW w:type="dxa" w:w="5112"/>
            <w:vAlign w:val="top"/>
          </w:tcPr>
          <w:p>
            <w:r>
              <w:rPr>
                <w:sz w:val="17"/>
              </w:rPr>
              <w:t>Topic relevance, author/date context, internal links, freshness</w:t>
            </w:r>
          </w:p>
        </w:tc>
      </w:tr>
      <w:tr>
        <w:tc>
          <w:tcPr>
            <w:tcW w:type="dxa" w:w="5112"/>
            <w:vAlign w:val="top"/>
          </w:tcPr>
          <w:p>
            <w:r>
              <w:rPr>
                <w:sz w:val="17"/>
              </w:rPr>
              <w:t>Resource</w:t>
            </w:r>
          </w:p>
        </w:tc>
        <w:tc>
          <w:tcPr>
            <w:tcW w:type="dxa" w:w="5112"/>
            <w:vAlign w:val="top"/>
          </w:tcPr>
          <w:p>
            <w:r>
              <w:rPr>
                <w:sz w:val="17"/>
              </w:rPr>
              <w:t>Descriptive title, resource type, topic, and useful supporting context</w:t>
            </w:r>
          </w:p>
        </w:tc>
      </w:tr>
      <w:tr>
        <w:tc>
          <w:tcPr>
            <w:tcW w:type="dxa" w:w="5112"/>
            <w:vAlign w:val="top"/>
          </w:tcPr>
          <w:p>
            <w:r>
              <w:rPr>
                <w:sz w:val="17"/>
              </w:rPr>
              <w:t>Leadership</w:t>
            </w:r>
          </w:p>
        </w:tc>
        <w:tc>
          <w:tcPr>
            <w:tcW w:type="dxa" w:w="5112"/>
            <w:vAlign w:val="top"/>
          </w:tcPr>
          <w:p>
            <w:r>
              <w:rPr>
                <w:sz w:val="17"/>
              </w:rPr>
              <w:t>Name, role, expertise, organization relationship</w:t>
            </w:r>
          </w:p>
        </w:tc>
      </w:tr>
      <w:tr>
        <w:tc>
          <w:tcPr>
            <w:tcW w:type="dxa" w:w="5112"/>
            <w:vAlign w:val="top"/>
          </w:tcPr>
          <w:p>
            <w:r>
              <w:rPr>
                <w:sz w:val="17"/>
              </w:rPr>
              <w:t>Location</w:t>
            </w:r>
          </w:p>
        </w:tc>
        <w:tc>
          <w:tcPr>
            <w:tcW w:type="dxa" w:w="5112"/>
            <w:vAlign w:val="top"/>
          </w:tcPr>
          <w:p>
            <w:r>
              <w:rPr>
                <w:sz w:val="17"/>
              </w:rPr>
              <w:t>Organization, branch/office, address, service/contact information</w:t>
            </w:r>
          </w:p>
        </w:tc>
      </w:tr>
    </w:tbl>
    <w:p/>
    <w:p>
      <w:pPr>
        <w:pStyle w:val="Heading1"/>
      </w:pPr>
      <w:r>
        <w:t>5. Content SEO Strategy</w:t>
      </w:r>
    </w:p>
    <w:p>
      <w:r>
        <w:t>Content should be created and organized around real user needs rather than producing articles solely to increase page count.</w:t>
      </w:r>
    </w:p>
    <w:p>
      <w:pPr>
        <w:pStyle w:val="ListBullet"/>
      </w:pPr>
      <w:r>
        <w:t>Prioritize subjects directly related to the organization’s expertise, services, projects, products, industries, or institutional mission.</w:t>
      </w:r>
    </w:p>
    <w:p>
      <w:pPr>
        <w:pStyle w:val="ListBullet"/>
      </w:pPr>
      <w:r>
        <w:t>Use case studies and success stories as evidence-rich content where appropriate.</w:t>
      </w:r>
    </w:p>
    <w:p>
      <w:pPr>
        <w:pStyle w:val="ListBullet"/>
      </w:pPr>
      <w:r>
        <w:t>Use resources and insights to demonstrate expertise and answer useful questions.</w:t>
      </w:r>
    </w:p>
    <w:p>
      <w:pPr>
        <w:pStyle w:val="ListBullet"/>
      </w:pPr>
      <w:r>
        <w:t>Keep news focused on meaningful company activity rather than low-value filler.</w:t>
      </w:r>
    </w:p>
    <w:p>
      <w:pPr>
        <w:pStyle w:val="ListBullet"/>
      </w:pPr>
      <w:r>
        <w:t>Update important evergreen content when facts, services, leadership, locations, or documents change.</w:t>
      </w:r>
    </w:p>
    <w:p>
      <w:pPr>
        <w:pStyle w:val="ListBullet"/>
      </w:pPr>
      <w:r>
        <w:t>Link editorial content back to relevant services, projects, resources, or contact paths.</w:t>
      </w:r>
    </w:p>
    <w:p>
      <w:pPr>
        <w:pStyle w:val="Heading1"/>
      </w:pPr>
      <w:r>
        <w:t>6. Conversion Strategy</w:t>
      </w:r>
    </w:p>
    <w:p>
      <w:r>
        <w:t>Professional Presence should use a small number of clearly defined primary conversion goals rather than treating every click as a conversion.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24D"/>
          </w:tcPr>
          <w:p>
            <w:r>
              <w:rPr>
                <w:b/>
                <w:color w:val="FFFFFF"/>
                <w:sz w:val="18"/>
              </w:rPr>
              <w:t>Conversion type</w:t>
            </w:r>
          </w:p>
        </w:tc>
        <w:tc>
          <w:tcPr>
            <w:tcW w:type="dxa" w:w="3408"/>
            <w:shd w:fill="17324D"/>
          </w:tcPr>
          <w:p>
            <w:r>
              <w:rPr>
                <w:b/>
                <w:color w:val="FFFFFF"/>
                <w:sz w:val="18"/>
              </w:rPr>
              <w:t>Examples</w:t>
            </w:r>
          </w:p>
        </w:tc>
        <w:tc>
          <w:tcPr>
            <w:tcW w:type="dxa" w:w="3408"/>
            <w:shd w:fill="17324D"/>
          </w:tcPr>
          <w:p>
            <w:r>
              <w:rPr>
                <w:b/>
                <w:color w:val="FFFFFF"/>
                <w:sz w:val="18"/>
              </w:rPr>
              <w:t>Recommended treatment</w:t>
            </w:r>
          </w:p>
        </w:tc>
      </w:tr>
      <w:tr>
        <w:tc>
          <w:tcPr>
            <w:tcW w:type="dxa" w:w="3408"/>
            <w:vAlign w:val="top"/>
          </w:tcPr>
          <w:p>
            <w:r>
              <w:rPr>
                <w:sz w:val="17"/>
              </w:rPr>
              <w:t>Primary business inquiry</w:t>
            </w:r>
          </w:p>
        </w:tc>
        <w:tc>
          <w:tcPr>
            <w:tcW w:type="dxa" w:w="3408"/>
            <w:vAlign w:val="top"/>
          </w:tcPr>
          <w:p>
            <w:r>
              <w:rPr>
                <w:sz w:val="17"/>
              </w:rPr>
              <w:t>General inquiry, RFQ, consultation</w:t>
            </w:r>
          </w:p>
        </w:tc>
        <w:tc>
          <w:tcPr>
            <w:tcW w:type="dxa" w:w="3408"/>
            <w:vAlign w:val="top"/>
          </w:tcPr>
          <w:p>
            <w:r>
              <w:rPr>
                <w:sz w:val="17"/>
              </w:rPr>
              <w:t>Strong CTA in relevant service/project paths</w:t>
            </w:r>
          </w:p>
        </w:tc>
      </w:tr>
      <w:tr>
        <w:tc>
          <w:tcPr>
            <w:tcW w:type="dxa" w:w="3408"/>
            <w:vAlign w:val="top"/>
          </w:tcPr>
          <w:p>
            <w:r>
              <w:rPr>
                <w:sz w:val="17"/>
              </w:rPr>
              <w:t>Direct contact</w:t>
            </w:r>
          </w:p>
        </w:tc>
        <w:tc>
          <w:tcPr>
            <w:tcW w:type="dxa" w:w="3408"/>
            <w:vAlign w:val="top"/>
          </w:tcPr>
          <w:p>
            <w:r>
              <w:rPr>
                <w:sz w:val="17"/>
              </w:rPr>
              <w:t>Phone, email, WhatsApp</w:t>
            </w:r>
          </w:p>
        </w:tc>
        <w:tc>
          <w:tcPr>
            <w:tcW w:type="dxa" w:w="3408"/>
            <w:vAlign w:val="top"/>
          </w:tcPr>
          <w:p>
            <w:r>
              <w:rPr>
                <w:sz w:val="17"/>
              </w:rPr>
              <w:t>Visible where urgency or local contact matters</w:t>
            </w:r>
          </w:p>
        </w:tc>
      </w:tr>
      <w:tr>
        <w:tc>
          <w:tcPr>
            <w:tcW w:type="dxa" w:w="3408"/>
            <w:vAlign w:val="top"/>
          </w:tcPr>
          <w:p>
            <w:r>
              <w:rPr>
                <w:sz w:val="17"/>
              </w:rPr>
              <w:t>Content engagement</w:t>
            </w:r>
          </w:p>
        </w:tc>
        <w:tc>
          <w:tcPr>
            <w:tcW w:type="dxa" w:w="3408"/>
            <w:vAlign w:val="top"/>
          </w:tcPr>
          <w:p>
            <w:r>
              <w:rPr>
                <w:sz w:val="17"/>
              </w:rPr>
              <w:t>Download, read, subscribe where included</w:t>
            </w:r>
          </w:p>
        </w:tc>
        <w:tc>
          <w:tcPr>
            <w:tcW w:type="dxa" w:w="3408"/>
            <w:vAlign w:val="top"/>
          </w:tcPr>
          <w:p>
            <w:r>
              <w:rPr>
                <w:sz w:val="17"/>
              </w:rPr>
              <w:t>Contextual CTA after useful content</w:t>
            </w:r>
          </w:p>
        </w:tc>
      </w:tr>
      <w:tr>
        <w:tc>
          <w:tcPr>
            <w:tcW w:type="dxa" w:w="3408"/>
            <w:vAlign w:val="top"/>
          </w:tcPr>
          <w:p>
            <w:r>
              <w:rPr>
                <w:sz w:val="17"/>
              </w:rPr>
              <w:t>Recruitment</w:t>
            </w:r>
          </w:p>
        </w:tc>
        <w:tc>
          <w:tcPr>
            <w:tcW w:type="dxa" w:w="3408"/>
            <w:vAlign w:val="top"/>
          </w:tcPr>
          <w:p>
            <w:r>
              <w:rPr>
                <w:sz w:val="17"/>
              </w:rPr>
              <w:t>View vacancy, apply, contact HR</w:t>
            </w:r>
          </w:p>
        </w:tc>
        <w:tc>
          <w:tcPr>
            <w:tcW w:type="dxa" w:w="3408"/>
            <w:vAlign w:val="top"/>
          </w:tcPr>
          <w:p>
            <w:r>
              <w:rPr>
                <w:sz w:val="17"/>
              </w:rPr>
              <w:t>Careers-specific pathways</w:t>
            </w:r>
          </w:p>
        </w:tc>
      </w:tr>
      <w:tr>
        <w:tc>
          <w:tcPr>
            <w:tcW w:type="dxa" w:w="3408"/>
            <w:vAlign w:val="top"/>
          </w:tcPr>
          <w:p>
            <w:r>
              <w:rPr>
                <w:sz w:val="17"/>
              </w:rPr>
              <w:t>Location action</w:t>
            </w:r>
          </w:p>
        </w:tc>
        <w:tc>
          <w:tcPr>
            <w:tcW w:type="dxa" w:w="3408"/>
            <w:vAlign w:val="top"/>
          </w:tcPr>
          <w:p>
            <w:r>
              <w:rPr>
                <w:sz w:val="17"/>
              </w:rPr>
              <w:t>Directions, call office, request local contact</w:t>
            </w:r>
          </w:p>
        </w:tc>
        <w:tc>
          <w:tcPr>
            <w:tcW w:type="dxa" w:w="3408"/>
            <w:vAlign w:val="top"/>
          </w:tcPr>
          <w:p>
            <w:r>
              <w:rPr>
                <w:sz w:val="17"/>
              </w:rPr>
              <w:t>Location-specific actions</w:t>
            </w:r>
          </w:p>
        </w:tc>
      </w:tr>
    </w:tbl>
    <w:p/>
    <w:p>
      <w:pPr>
        <w:pStyle w:val="Heading1"/>
      </w:pPr>
      <w:r>
        <w:t>7. CTA Rules</w:t>
      </w:r>
    </w:p>
    <w:p>
      <w:pPr>
        <w:pStyle w:val="ListBullet"/>
      </w:pPr>
      <w:r>
        <w:t>Each page should have one clear primary next action appropriate to its purpose.</w:t>
      </w:r>
    </w:p>
    <w:p>
      <w:pPr>
        <w:pStyle w:val="ListBullet"/>
      </w:pPr>
      <w:r>
        <w:t>Secondary actions can support discovery but should not compete visually with the primary CTA.</w:t>
      </w:r>
    </w:p>
    <w:p>
      <w:pPr>
        <w:pStyle w:val="ListBullet"/>
      </w:pPr>
      <w:r>
        <w:t>CTA labels should describe the destination or action: “Request a Quote”, “Explore Projects”, “Download Company Profile”, “Meet Our Leadership”.</w:t>
      </w:r>
    </w:p>
    <w:p>
      <w:pPr>
        <w:pStyle w:val="ListBullet"/>
      </w:pPr>
      <w:r>
        <w:t>CTAs should appear at natural decision points rather than after every section.</w:t>
      </w:r>
    </w:p>
    <w:p>
      <w:pPr>
        <w:pStyle w:val="ListBullet"/>
      </w:pPr>
      <w:r>
        <w:t>Professional Experience pages may use more understated CTA treatments, but the action must remain discoverable.</w:t>
      </w:r>
    </w:p>
    <w:p>
      <w:pPr>
        <w:pStyle w:val="Heading1"/>
      </w:pPr>
      <w:r>
        <w:t>8. Analytics Strategy</w:t>
      </w:r>
    </w:p>
    <w:p>
      <w:r>
        <w:t>Analytics should measure business-relevant behavior, not simply page views.</w:t>
      </w:r>
    </w:p>
    <w:tbl>
      <w:tblPr>
        <w:tblStyle w:val="TableGrid"/>
        <w:tblW w:type="auto" w:w="0"/>
        <w:jc w:val="center"/>
        <w:tblLook w:firstColumn="1" w:firstRow="1" w:lastColumn="0" w:lastRow="0" w:noHBand="0" w:noVBand="1" w:val="04A0"/>
      </w:tblPr>
      <w:tblGrid>
        <w:gridCol w:w="5112"/>
        <w:gridCol w:w="5112"/>
      </w:tblGrid>
      <w:tr>
        <w:tc>
          <w:tcPr>
            <w:tcW w:type="dxa" w:w="5112"/>
            <w:shd w:fill="17324D"/>
          </w:tcPr>
          <w:p>
            <w:r>
              <w:rPr>
                <w:b/>
                <w:color w:val="FFFFFF"/>
                <w:sz w:val="18"/>
              </w:rPr>
              <w:t>Measurement layer</w:t>
            </w:r>
          </w:p>
        </w:tc>
        <w:tc>
          <w:tcPr>
            <w:tcW w:type="dxa" w:w="5112"/>
            <w:shd w:fill="17324D"/>
          </w:tcPr>
          <w:p>
            <w:r>
              <w:rPr>
                <w:b/>
                <w:color w:val="FFFFFF"/>
                <w:sz w:val="18"/>
              </w:rPr>
              <w:t>Examples</w:t>
            </w:r>
          </w:p>
        </w:tc>
      </w:tr>
      <w:tr>
        <w:tc>
          <w:tcPr>
            <w:tcW w:type="dxa" w:w="5112"/>
            <w:vAlign w:val="top"/>
          </w:tcPr>
          <w:p>
            <w:r>
              <w:rPr>
                <w:sz w:val="17"/>
              </w:rPr>
              <w:t>Traffic</w:t>
            </w:r>
          </w:p>
        </w:tc>
        <w:tc>
          <w:tcPr>
            <w:tcW w:type="dxa" w:w="5112"/>
            <w:vAlign w:val="top"/>
          </w:tcPr>
          <w:p>
            <w:r>
              <w:rPr>
                <w:sz w:val="17"/>
              </w:rPr>
              <w:t>Users, sessions, landing pages, acquisition sources</w:t>
            </w:r>
          </w:p>
        </w:tc>
      </w:tr>
      <w:tr>
        <w:tc>
          <w:tcPr>
            <w:tcW w:type="dxa" w:w="5112"/>
            <w:vAlign w:val="top"/>
          </w:tcPr>
          <w:p>
            <w:r>
              <w:rPr>
                <w:sz w:val="17"/>
              </w:rPr>
              <w:t>Engagement</w:t>
            </w:r>
          </w:p>
        </w:tc>
        <w:tc>
          <w:tcPr>
            <w:tcW w:type="dxa" w:w="5112"/>
            <w:vAlign w:val="top"/>
          </w:tcPr>
          <w:p>
            <w:r>
              <w:rPr>
                <w:sz w:val="17"/>
              </w:rPr>
              <w:t>Important page views, scroll/engagement signals, downloads, searches</w:t>
            </w:r>
          </w:p>
        </w:tc>
      </w:tr>
      <w:tr>
        <w:tc>
          <w:tcPr>
            <w:tcW w:type="dxa" w:w="5112"/>
            <w:vAlign w:val="top"/>
          </w:tcPr>
          <w:p>
            <w:r>
              <w:rPr>
                <w:sz w:val="17"/>
              </w:rPr>
              <w:t>Leads</w:t>
            </w:r>
          </w:p>
        </w:tc>
        <w:tc>
          <w:tcPr>
            <w:tcW w:type="dxa" w:w="5112"/>
            <w:vAlign w:val="top"/>
          </w:tcPr>
          <w:p>
            <w:r>
              <w:rPr>
                <w:sz w:val="17"/>
              </w:rPr>
              <w:t>Form submissions, RFQs, call actions, WhatsApp actions, email actions</w:t>
            </w:r>
          </w:p>
        </w:tc>
      </w:tr>
      <w:tr>
        <w:tc>
          <w:tcPr>
            <w:tcW w:type="dxa" w:w="5112"/>
            <w:vAlign w:val="top"/>
          </w:tcPr>
          <w:p>
            <w:r>
              <w:rPr>
                <w:sz w:val="17"/>
              </w:rPr>
              <w:t>Content</w:t>
            </w:r>
          </w:p>
        </w:tc>
        <w:tc>
          <w:tcPr>
            <w:tcW w:type="dxa" w:w="5112"/>
            <w:vAlign w:val="top"/>
          </w:tcPr>
          <w:p>
            <w:r>
              <w:rPr>
                <w:sz w:val="17"/>
              </w:rPr>
              <w:t>Resource downloads, project views, insight engagement, careers interactions</w:t>
            </w:r>
          </w:p>
        </w:tc>
      </w:tr>
      <w:tr>
        <w:tc>
          <w:tcPr>
            <w:tcW w:type="dxa" w:w="5112"/>
            <w:vAlign w:val="top"/>
          </w:tcPr>
          <w:p>
            <w:r>
              <w:rPr>
                <w:sz w:val="17"/>
              </w:rPr>
              <w:t>Navigation</w:t>
            </w:r>
          </w:p>
        </w:tc>
        <w:tc>
          <w:tcPr>
            <w:tcW w:type="dxa" w:w="5112"/>
            <w:vAlign w:val="top"/>
          </w:tcPr>
          <w:p>
            <w:r>
              <w:rPr>
                <w:sz w:val="17"/>
              </w:rPr>
              <w:t>Key pathways between service, project, resource, leadership, and contact content</w:t>
            </w:r>
          </w:p>
        </w:tc>
      </w:tr>
      <w:tr>
        <w:tc>
          <w:tcPr>
            <w:tcW w:type="dxa" w:w="5112"/>
            <w:vAlign w:val="top"/>
          </w:tcPr>
          <w:p>
            <w:r>
              <w:rPr>
                <w:sz w:val="17"/>
              </w:rPr>
              <w:t>Search visibility</w:t>
            </w:r>
          </w:p>
        </w:tc>
        <w:tc>
          <w:tcPr>
            <w:tcW w:type="dxa" w:w="5112"/>
            <w:vAlign w:val="top"/>
          </w:tcPr>
          <w:p>
            <w:r>
              <w:rPr>
                <w:sz w:val="17"/>
              </w:rPr>
              <w:t>Queries, impressions, clicks, indexing, top landing pages via Search Console</w:t>
            </w:r>
          </w:p>
        </w:tc>
      </w:tr>
    </w:tbl>
    <w:p/>
    <w:p>
      <w:pPr>
        <w:pStyle w:val="Heading1"/>
      </w:pPr>
      <w:r>
        <w:t>9. Recommended Conversion Events</w:t>
      </w:r>
    </w:p>
    <w:p>
      <w:pPr>
        <w:pStyle w:val="ListBullet"/>
      </w:pPr>
      <w:r>
        <w:t>contact_form_submit</w:t>
      </w:r>
    </w:p>
    <w:p>
      <w:pPr>
        <w:pStyle w:val="ListBullet"/>
      </w:pPr>
      <w:r>
        <w:t>rfq_submit</w:t>
      </w:r>
    </w:p>
    <w:p>
      <w:pPr>
        <w:pStyle w:val="ListBullet"/>
      </w:pPr>
      <w:r>
        <w:t>phone_click</w:t>
      </w:r>
    </w:p>
    <w:p>
      <w:pPr>
        <w:pStyle w:val="ListBullet"/>
      </w:pPr>
      <w:r>
        <w:t>email_click</w:t>
      </w:r>
    </w:p>
    <w:p>
      <w:pPr>
        <w:pStyle w:val="ListBullet"/>
      </w:pPr>
      <w:r>
        <w:t>whatsapp_click</w:t>
      </w:r>
    </w:p>
    <w:p>
      <w:pPr>
        <w:pStyle w:val="ListBullet"/>
      </w:pPr>
      <w:r>
        <w:t>location_action</w:t>
      </w:r>
    </w:p>
    <w:p>
      <w:pPr>
        <w:pStyle w:val="ListBullet"/>
      </w:pPr>
      <w:r>
        <w:t>document_download</w:t>
      </w:r>
    </w:p>
    <w:p>
      <w:pPr>
        <w:pStyle w:val="ListBullet"/>
      </w:pPr>
      <w:r>
        <w:t>important_resource_view</w:t>
      </w:r>
    </w:p>
    <w:p>
      <w:pPr>
        <w:pStyle w:val="ListBullet"/>
      </w:pPr>
      <w:r>
        <w:t>career_action</w:t>
      </w:r>
    </w:p>
    <w:p>
      <w:pPr>
        <w:pStyle w:val="ListBullet"/>
      </w:pPr>
      <w:r>
        <w:t>key_cta_click</w:t>
      </w:r>
    </w:p>
    <w:p>
      <w:r>
        <w:t>Only implement events that correspond to real features in the agreed project. Event names should be standardized across projects where the underlying behavior is the same.</w:t>
      </w:r>
    </w:p>
    <w:p>
      <w:pPr>
        <w:pStyle w:val="Heading1"/>
      </w:pPr>
      <w:r>
        <w:t>10. Template-Specific Marketing Emphasis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24D"/>
          </w:tcPr>
          <w:p>
            <w:r>
              <w:rPr>
                <w:b/>
                <w:color w:val="FFFFFF"/>
                <w:sz w:val="18"/>
              </w:rPr>
              <w:t>Template</w:t>
            </w:r>
          </w:p>
        </w:tc>
        <w:tc>
          <w:tcPr>
            <w:tcW w:type="dxa" w:w="3408"/>
            <w:shd w:fill="17324D"/>
          </w:tcPr>
          <w:p>
            <w:r>
              <w:rPr>
                <w:b/>
                <w:color w:val="FFFFFF"/>
                <w:sz w:val="18"/>
              </w:rPr>
              <w:t>Marketing emphasis</w:t>
            </w:r>
          </w:p>
        </w:tc>
        <w:tc>
          <w:tcPr>
            <w:tcW w:type="dxa" w:w="3408"/>
            <w:shd w:fill="17324D"/>
          </w:tcPr>
          <w:p>
            <w:r>
              <w:rPr>
                <w:b/>
                <w:color w:val="FFFFFF"/>
                <w:sz w:val="18"/>
              </w:rPr>
              <w:t>Typical conversion path</w:t>
            </w:r>
          </w:p>
        </w:tc>
      </w:tr>
      <w:tr>
        <w:tc>
          <w:tcPr>
            <w:tcW w:type="dxa" w:w="3408"/>
            <w:vAlign w:val="top"/>
          </w:tcPr>
          <w:p>
            <w:r>
              <w:rPr>
                <w:sz w:val="17"/>
              </w:rPr>
              <w:t>Corporate Authority</w:t>
            </w:r>
          </w:p>
        </w:tc>
        <w:tc>
          <w:tcPr>
            <w:tcW w:type="dxa" w:w="3408"/>
            <w:vAlign w:val="top"/>
          </w:tcPr>
          <w:p>
            <w:r>
              <w:rPr>
                <w:sz w:val="17"/>
              </w:rPr>
              <w:t>Corporate credibility, capabilities, projects, recognition</w:t>
            </w:r>
          </w:p>
        </w:tc>
        <w:tc>
          <w:tcPr>
            <w:tcW w:type="dxa" w:w="3408"/>
            <w:vAlign w:val="top"/>
          </w:tcPr>
          <w:p>
            <w:r>
              <w:rPr>
                <w:sz w:val="17"/>
              </w:rPr>
              <w:t>Discover organization → Verify credibility → Explore capability → Inquire</w:t>
            </w:r>
          </w:p>
        </w:tc>
      </w:tr>
      <w:tr>
        <w:tc>
          <w:tcPr>
            <w:tcW w:type="dxa" w:w="3408"/>
            <w:vAlign w:val="top"/>
          </w:tcPr>
          <w:p>
            <w:r>
              <w:rPr>
                <w:sz w:val="17"/>
              </w:rPr>
              <w:t>Editorial Expertise</w:t>
            </w:r>
          </w:p>
        </w:tc>
        <w:tc>
          <w:tcPr>
            <w:tcW w:type="dxa" w:w="3408"/>
            <w:vAlign w:val="top"/>
          </w:tcPr>
          <w:p>
            <w:r>
              <w:rPr>
                <w:sz w:val="17"/>
              </w:rPr>
              <w:t>Expertise, insights, publications, case studies</w:t>
            </w:r>
          </w:p>
        </w:tc>
        <w:tc>
          <w:tcPr>
            <w:tcW w:type="dxa" w:w="3408"/>
            <w:vAlign w:val="top"/>
          </w:tcPr>
          <w:p>
            <w:r>
              <w:rPr>
                <w:sz w:val="17"/>
              </w:rPr>
              <w:t>Discover topic → Learn → Verify expertise → Explore work → Engage</w:t>
            </w:r>
          </w:p>
        </w:tc>
      </w:tr>
      <w:tr>
        <w:tc>
          <w:tcPr>
            <w:tcW w:type="dxa" w:w="3408"/>
            <w:vAlign w:val="top"/>
          </w:tcPr>
          <w:p>
            <w:r>
              <w:rPr>
                <w:sz w:val="17"/>
              </w:rPr>
              <w:t>Premium Experience</w:t>
            </w:r>
          </w:p>
        </w:tc>
        <w:tc>
          <w:tcPr>
            <w:tcW w:type="dxa" w:w="3408"/>
            <w:vAlign w:val="top"/>
          </w:tcPr>
          <w:p>
            <w:r>
              <w:rPr>
                <w:sz w:val="17"/>
              </w:rPr>
              <w:t>Brand perception, visual story, signature offering</w:t>
            </w:r>
          </w:p>
        </w:tc>
        <w:tc>
          <w:tcPr>
            <w:tcW w:type="dxa" w:w="3408"/>
            <w:vAlign w:val="top"/>
          </w:tcPr>
          <w:p>
            <w:r>
              <w:rPr>
                <w:sz w:val="17"/>
              </w:rPr>
              <w:t>Experience brand → Explore offering → Build desire/trust → Inquire</w:t>
            </w:r>
          </w:p>
        </w:tc>
      </w:tr>
    </w:tbl>
    <w:p/>
    <w:p>
      <w:pPr>
        <w:pStyle w:val="Heading1"/>
      </w:pPr>
      <w:r>
        <w:t>11. Analytics &amp; Privacy Boundaries</w:t>
      </w:r>
    </w:p>
    <w:p>
      <w:pPr>
        <w:pStyle w:val="ListBullet"/>
      </w:pPr>
      <w:r>
        <w:t>Only track information needed for agreed measurement purposes.</w:t>
      </w:r>
    </w:p>
    <w:p>
      <w:pPr>
        <w:pStyle w:val="ListBullet"/>
      </w:pPr>
      <w:r>
        <w:t>Forms should collect only information necessary for the stated business purpose.</w:t>
      </w:r>
    </w:p>
    <w:p>
      <w:pPr>
        <w:pStyle w:val="ListBullet"/>
      </w:pPr>
      <w:r>
        <w:t>Any consent, privacy, or cookie requirements should follow the applicable legal and implementation requirements for the client and market.</w:t>
      </w:r>
    </w:p>
    <w:p>
      <w:pPr>
        <w:pStyle w:val="ListBullet"/>
      </w:pPr>
      <w:r>
        <w:t>Do not embed third-party tracking tools without an agreed purpose and ownership decision.</w:t>
      </w:r>
    </w:p>
    <w:p>
      <w:pPr>
        <w:pStyle w:val="Heading1"/>
      </w:pPr>
      <w:r>
        <w:t>12. Social &amp; External Channels</w:t>
      </w:r>
    </w:p>
    <w:p>
      <w:r>
        <w:t>Social integration should support the organization’s communication strategy rather than adding unnecessary feeds.</w:t>
      </w:r>
    </w:p>
    <w:p>
      <w:pPr>
        <w:pStyle w:val="ListBullet"/>
      </w:pPr>
      <w:r>
        <w:t>Link to official social profiles where relevant.</w:t>
      </w:r>
    </w:p>
    <w:p>
      <w:pPr>
        <w:pStyle w:val="ListBullet"/>
      </w:pPr>
      <w:r>
        <w:t>Use social sharing metadata for important shareable pages where appropriate.</w:t>
      </w:r>
    </w:p>
    <w:p>
      <w:pPr>
        <w:pStyle w:val="ListBullet"/>
      </w:pPr>
      <w:r>
        <w:t>Use embedded feeds only when there is a clear business reason and acceptable performance/maintenance trade-off.</w:t>
      </w:r>
    </w:p>
    <w:p>
      <w:pPr>
        <w:pStyle w:val="ListBullet"/>
      </w:pPr>
      <w:r>
        <w:t>Keep official contact and corporate information on the website rather than depending on a social platform.</w:t>
      </w:r>
    </w:p>
    <w:p>
      <w:pPr>
        <w:pStyle w:val="Heading1"/>
      </w:pPr>
      <w:r>
        <w:t>13. Marketing Content Governance</w:t>
      </w:r>
    </w:p>
    <w:p>
      <w:pPr>
        <w:pStyle w:val="ListBullet"/>
      </w:pPr>
      <w:r>
        <w:t>Assign an owner for important content areas such as news, resources, careers, projects, and leadership.</w:t>
      </w:r>
    </w:p>
    <w:p>
      <w:pPr>
        <w:pStyle w:val="ListBullet"/>
      </w:pPr>
      <w:r>
        <w:t>Keep dates and authorship accurate where displayed.</w:t>
      </w:r>
    </w:p>
    <w:p>
      <w:pPr>
        <w:pStyle w:val="ListBullet"/>
      </w:pPr>
      <w:r>
        <w:t>Review outdated documents and replace or retire them when necessary.</w:t>
      </w:r>
    </w:p>
    <w:p>
      <w:pPr>
        <w:pStyle w:val="ListBullet"/>
      </w:pPr>
      <w:r>
        <w:t>Keep navigation aligned with current business priorities.</w:t>
      </w:r>
    </w:p>
    <w:p>
      <w:pPr>
        <w:pStyle w:val="ListBullet"/>
      </w:pPr>
      <w:r>
        <w:t>Preserve stable URLs for important content where possible.</w:t>
      </w:r>
    </w:p>
    <w:p>
      <w:pPr>
        <w:pStyle w:val="Heading1"/>
      </w:pPr>
      <w:r>
        <w:t>14. SEO &amp; Analytics Acceptance Criteria</w:t>
      </w:r>
    </w:p>
    <w:p>
      <w:pPr>
        <w:pStyle w:val="ListBullet"/>
      </w:pPr>
      <w:r>
        <w:t>Important indexable pages have intentional titles and metadata.</w:t>
      </w:r>
    </w:p>
    <w:p>
      <w:pPr>
        <w:pStyle w:val="ListBullet"/>
      </w:pPr>
      <w:r>
        <w:t>Heading hierarchy and internal linking follow the approved information architecture.</w:t>
      </w:r>
    </w:p>
    <w:p>
      <w:pPr>
        <w:pStyle w:val="ListBullet"/>
      </w:pPr>
      <w:r>
        <w:t>Important images have appropriate alternative text treatment.</w:t>
      </w:r>
    </w:p>
    <w:p>
      <w:pPr>
        <w:pStyle w:val="ListBullet"/>
      </w:pPr>
      <w:r>
        <w:t>Canonical, sitemap, and robots requirements are defined for implementation.</w:t>
      </w:r>
    </w:p>
    <w:p>
      <w:pPr>
        <w:pStyle w:val="ListBullet"/>
      </w:pPr>
      <w:r>
        <w:t>Google Search Console is connected where included.</w:t>
      </w:r>
    </w:p>
    <w:p>
      <w:pPr>
        <w:pStyle w:val="ListBullet"/>
      </w:pPr>
      <w:r>
        <w:t>Google Analytics is connected where included.</w:t>
      </w:r>
    </w:p>
    <w:p>
      <w:pPr>
        <w:pStyle w:val="ListBullet"/>
      </w:pPr>
      <w:r>
        <w:t>Agreed conversion events are defined for forms and important lead actions.</w:t>
      </w:r>
    </w:p>
    <w:p>
      <w:pPr>
        <w:pStyle w:val="ListBullet"/>
      </w:pPr>
      <w:r>
        <w:t>Analytics naming is consistent and documented.</w:t>
      </w:r>
    </w:p>
    <w:p>
      <w:pPr>
        <w:pStyle w:val="ListBullet"/>
      </w:pPr>
      <w:r>
        <w:t>Primary user journeys can be measured from landing page to conversion or key engagement action.</w:t>
      </w:r>
    </w:p>
    <w:p>
      <w:pPr>
        <w:pStyle w:val="Heading1"/>
      </w:pPr>
      <w:r>
        <w:t>15. Scope Boundary</w:t>
      </w:r>
    </w:p>
    <w:p>
      <w:r>
        <w:t>This phase defines the marketing, SEO, conversion, and measurement requirements. Detailed performance engineering, security controls, implementation architecture, deployment, and maintenance procedures belong to later phases handled by the technical workflow.</w:t>
      </w:r>
    </w:p>
    <w:p>
      <w:pPr>
        <w:pStyle w:val="Heading1"/>
      </w:pPr>
      <w:r>
        <w:t>16. Phase Completion Criteria</w:t>
      </w:r>
    </w:p>
    <w:p>
      <w:pPr>
        <w:pStyle w:val="ListBullet"/>
      </w:pPr>
      <w:r>
        <w:t>The website’s marketing goals are defined.</w:t>
      </w:r>
    </w:p>
    <w:p>
      <w:pPr>
        <w:pStyle w:val="ListBullet"/>
      </w:pPr>
      <w:r>
        <w:t>Audience/search-intent relationships are established.</w:t>
      </w:r>
    </w:p>
    <w:p>
      <w:pPr>
        <w:pStyle w:val="ListBullet"/>
      </w:pPr>
      <w:r>
        <w:t>Core SEO requirements are defined.</w:t>
      </w:r>
    </w:p>
    <w:p>
      <w:pPr>
        <w:pStyle w:val="ListBullet"/>
      </w:pPr>
      <w:r>
        <w:t>Conversion goals and CTA rules are defined.</w:t>
      </w:r>
    </w:p>
    <w:p>
      <w:pPr>
        <w:pStyle w:val="ListBullet"/>
      </w:pPr>
      <w:r>
        <w:t>Analytics measurement areas and events are defined.</w:t>
      </w:r>
    </w:p>
    <w:p>
      <w:pPr>
        <w:pStyle w:val="ListBullet"/>
      </w:pPr>
      <w:r>
        <w:t>Template-specific marketing emphasis is clear.</w:t>
      </w:r>
    </w:p>
    <w:p>
      <w:pPr>
        <w:pStyle w:val="ListBullet"/>
      </w:pPr>
      <w:r>
        <w:t>Content governance expectations are documented.</w:t>
      </w:r>
    </w:p>
    <w:p>
      <w:pPr>
        <w:pStyle w:val="ListBullet"/>
      </w:pPr>
      <w:r>
        <w:t>The phase provides implementable requirements without duplicating the technical phases.</w:t>
      </w:r>
    </w:p>
    <w:p>
      <w:pPr>
        <w:pStyle w:val="Heading1"/>
      </w:pPr>
      <w:r>
        <w:t>17. Next Phase</w:t>
      </w:r>
    </w:p>
    <w:p>
      <w:r>
        <w:t>The next phase in the full workflow is Phase 8 — Performance. That phase will address loading, asset optimization, runtime behavior, and other technical performance requirements. This keeps the current phase focused on marketing, discoverability, conversion, and measurement.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Professional Presence — Phase 7 Marketing / SEO / Analytics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C4A6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