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30"/>
        </w:rPr>
        <w:t>PACKAGE 3 — PROFESSIONAL PRESENCE</w:t>
      </w:r>
    </w:p>
    <w:p>
      <w:pPr>
        <w:jc w:val="center"/>
      </w:pPr>
      <w:r>
        <w:rPr>
          <w:b/>
          <w:color w:val="17324D"/>
          <w:sz w:val="46"/>
        </w:rPr>
        <w:t>Example Client Selection &amp; Template Mapping</w:t>
      </w:r>
    </w:p>
    <w:p>
      <w:pPr>
        <w:jc w:val="center"/>
      </w:pPr>
      <w:r>
        <w:t>Version 1.0</w:t>
      </w:r>
    </w:p>
    <w:p>
      <w:pPr>
        <w:pStyle w:val="Heading1"/>
      </w:pPr>
      <w:r>
        <w:t>1. Purpose</w:t>
      </w:r>
    </w:p>
    <w:p>
      <w:r>
        <w:t>The three Professional Presence template manuals are reusable. This phase determines which example client should be used to demonstrate each template and establishes the client/template relationship before creating any client-specific design manual.</w:t>
      </w:r>
    </w:p>
    <w:p>
      <w:pPr>
        <w:pStyle w:val="Heading1"/>
      </w:pPr>
      <w:r>
        <w:t>2. Selection Principles</w:t>
      </w:r>
    </w:p>
    <w:p>
      <w:pPr>
        <w:pStyle w:val="ListBullet"/>
      </w:pPr>
      <w:r>
        <w:t>The example client must have enough organizational depth to demonstrate the selected template properly.</w:t>
      </w:r>
    </w:p>
    <w:p>
      <w:pPr>
        <w:pStyle w:val="ListBullet"/>
      </w:pPr>
      <w:r>
        <w:t>The client should expose the template’s strongest information architecture and visual patterns.</w:t>
      </w:r>
    </w:p>
    <w:p>
      <w:pPr>
        <w:pStyle w:val="ListBullet"/>
      </w:pPr>
      <w:r>
        <w:t>The example should be realistic enough to guide future projects without forcing every client into the same content structure.</w:t>
      </w:r>
    </w:p>
    <w:p>
      <w:pPr>
        <w:pStyle w:val="ListBullet"/>
      </w:pPr>
      <w:r>
        <w:t>Client-specific brand details are only introduced after the template is selected.</w:t>
      </w:r>
    </w:p>
    <w:p>
      <w:pPr>
        <w:pStyle w:val="ListBullet"/>
      </w:pPr>
      <w:r>
        <w:t>The first example should exercise the broadest set of reusable page and component patterns.</w:t>
      </w:r>
    </w:p>
    <w:p>
      <w:pPr>
        <w:pStyle w:val="Heading1"/>
      </w:pPr>
      <w:r>
        <w:t>3. Recommended Example Clients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tcPr>
          <w:p>
            <w:r/>
            <w:r>
              <w:rPr>
                <w:b/>
                <w:color w:val="FFFFFF"/>
                <w:sz w:val="18"/>
              </w:rPr>
              <w:t>Template</w:t>
            </w:r>
          </w:p>
        </w:tc>
        <w:tc>
          <w:tcPr>
            <w:tcW w:type="dxa" w:w="2556"/>
            <w:shd w:fill="17324D"/>
          </w:tcPr>
          <w:p>
            <w:r/>
            <w:r>
              <w:rPr>
                <w:b/>
                <w:color w:val="FFFFFF"/>
                <w:sz w:val="18"/>
              </w:rPr>
              <w:t>Recommended example client</w:t>
            </w:r>
          </w:p>
        </w:tc>
        <w:tc>
          <w:tcPr>
            <w:tcW w:type="dxa" w:w="2556"/>
            <w:shd w:fill="17324D"/>
          </w:tcPr>
          <w:p>
            <w:r/>
            <w:r>
              <w:rPr>
                <w:b/>
                <w:color w:val="FFFFFF"/>
                <w:sz w:val="18"/>
              </w:rPr>
              <w:t>Why it fits</w:t>
            </w:r>
          </w:p>
        </w:tc>
        <w:tc>
          <w:tcPr>
            <w:tcW w:type="dxa" w:w="2556"/>
            <w:shd w:fill="17324D"/>
          </w:tcPr>
          <w:p>
            <w:r/>
            <w:r>
              <w:rPr>
                <w:b/>
                <w:color w:val="FFFFFF"/>
                <w:sz w:val="18"/>
              </w:rPr>
              <w:t>Primary demonstration value</w:t>
            </w:r>
          </w:p>
        </w:tc>
      </w:tr>
      <w:tr>
        <w:tc>
          <w:tcPr>
            <w:tcW w:type="dxa" w:w="2556"/>
            <w:vAlign w:val="top"/>
          </w:tcPr>
          <w:p>
            <w:r>
              <w:rPr>
                <w:sz w:val="18"/>
              </w:rPr>
              <w:t>01 — Corporate Authority</w:t>
            </w:r>
          </w:p>
        </w:tc>
        <w:tc>
          <w:tcPr>
            <w:tcW w:type="dxa" w:w="2556"/>
            <w:vAlign w:val="top"/>
          </w:tcPr>
          <w:p>
            <w:r>
              <w:rPr>
                <w:sz w:val="18"/>
              </w:rPr>
              <w:t>Stonebridge Construction</w:t>
            </w:r>
          </w:p>
        </w:tc>
        <w:tc>
          <w:tcPr>
            <w:tcW w:type="dxa" w:w="2556"/>
            <w:vAlign w:val="top"/>
          </w:tcPr>
          <w:p>
            <w:r>
              <w:rPr>
                <w:sz w:val="18"/>
              </w:rPr>
              <w:t>Established construction/engineering positioning with projects, capabilities, corporate credibility, and institutional storytelling.</w:t>
            </w:r>
          </w:p>
        </w:tc>
        <w:tc>
          <w:tcPr>
            <w:tcW w:type="dxa" w:w="2556"/>
            <w:vAlign w:val="top"/>
          </w:tcPr>
          <w:p>
            <w:r>
              <w:rPr>
                <w:sz w:val="18"/>
              </w:rPr>
              <w:t>Corporate hierarchy, projects, leadership, proof, capabilities, milestones.</w:t>
            </w:r>
          </w:p>
        </w:tc>
      </w:tr>
      <w:tr>
        <w:tc>
          <w:tcPr>
            <w:tcW w:type="dxa" w:w="2556"/>
            <w:vAlign w:val="top"/>
          </w:tcPr>
          <w:p>
            <w:r>
              <w:rPr>
                <w:sz w:val="18"/>
              </w:rPr>
              <w:t>02 — Editorial Expertise</w:t>
            </w:r>
          </w:p>
        </w:tc>
        <w:tc>
          <w:tcPr>
            <w:tcW w:type="dxa" w:w="2556"/>
            <w:vAlign w:val="top"/>
          </w:tcPr>
          <w:p>
            <w:r>
              <w:rPr>
                <w:sz w:val="18"/>
              </w:rPr>
              <w:t>Milto Engineering PLC</w:t>
            </w:r>
          </w:p>
        </w:tc>
        <w:tc>
          <w:tcPr>
            <w:tcW w:type="dxa" w:w="2556"/>
            <w:vAlign w:val="top"/>
          </w:tcPr>
          <w:p>
            <w:r>
              <w:rPr>
                <w:sz w:val="18"/>
              </w:rPr>
              <w:t>Engineering/consulting positioning naturally supports expertise, projects, technical knowledge, and resource-led communication.</w:t>
            </w:r>
          </w:p>
        </w:tc>
        <w:tc>
          <w:tcPr>
            <w:tcW w:type="dxa" w:w="2556"/>
            <w:vAlign w:val="top"/>
          </w:tcPr>
          <w:p>
            <w:r>
              <w:rPr>
                <w:sz w:val="18"/>
              </w:rPr>
              <w:t>Expertise, case studies, insights, resources, expert profiles.</w:t>
            </w:r>
          </w:p>
        </w:tc>
      </w:tr>
      <w:tr>
        <w:tc>
          <w:tcPr>
            <w:tcW w:type="dxa" w:w="2556"/>
            <w:vAlign w:val="top"/>
          </w:tcPr>
          <w:p>
            <w:r>
              <w:rPr>
                <w:sz w:val="18"/>
              </w:rPr>
              <w:t>03 — Premium Experience</w:t>
            </w:r>
          </w:p>
        </w:tc>
        <w:tc>
          <w:tcPr>
            <w:tcW w:type="dxa" w:w="2556"/>
            <w:vAlign w:val="top"/>
          </w:tcPr>
          <w:p>
            <w:r>
              <w:rPr>
                <w:sz w:val="18"/>
              </w:rPr>
              <w:t>Robi Hotel</w:t>
            </w:r>
          </w:p>
        </w:tc>
        <w:tc>
          <w:tcPr>
            <w:tcW w:type="dxa" w:w="2556"/>
            <w:vAlign w:val="top"/>
          </w:tcPr>
          <w:p>
            <w:r>
              <w:rPr>
                <w:sz w:val="18"/>
              </w:rPr>
              <w:t>Hospitality is strongly experience-driven and benefits from immersive imagery, refined typography, visual storytelling, and premium inquiry flows.</w:t>
            </w:r>
          </w:p>
        </w:tc>
        <w:tc>
          <w:tcPr>
            <w:tcW w:type="dxa" w:w="2556"/>
            <w:vAlign w:val="top"/>
          </w:tcPr>
          <w:p>
            <w:r>
              <w:rPr>
                <w:sz w:val="18"/>
              </w:rPr>
              <w:t>Hero storytelling, accommodation/experience presentation, galleries, brand story, journal.</w:t>
            </w:r>
          </w:p>
        </w:tc>
      </w:tr>
    </w:tbl>
    <w:p/>
    <w:p>
      <w:pPr>
        <w:pStyle w:val="Heading1"/>
      </w:pPr>
      <w:r>
        <w:t>4. Template-to-Client Mapping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tcPr>
          <w:p>
            <w:r/>
            <w:r>
              <w:rPr>
                <w:b/>
                <w:color w:val="FFFFFF"/>
                <w:sz w:val="18"/>
              </w:rPr>
              <w:t>Example client</w:t>
            </w:r>
          </w:p>
        </w:tc>
        <w:tc>
          <w:tcPr>
            <w:tcW w:type="dxa" w:w="2556"/>
            <w:shd w:fill="17324D"/>
          </w:tcPr>
          <w:p>
            <w:r/>
            <w:r>
              <w:rPr>
                <w:b/>
                <w:color w:val="FFFFFF"/>
                <w:sz w:val="18"/>
              </w:rPr>
              <w:t>Selected template</w:t>
            </w:r>
          </w:p>
        </w:tc>
        <w:tc>
          <w:tcPr>
            <w:tcW w:type="dxa" w:w="2556"/>
            <w:shd w:fill="17324D"/>
          </w:tcPr>
          <w:p>
            <w:r/>
            <w:r>
              <w:rPr>
                <w:b/>
                <w:color w:val="FFFFFF"/>
                <w:sz w:val="18"/>
              </w:rPr>
              <w:t>Core experience</w:t>
            </w:r>
          </w:p>
        </w:tc>
        <w:tc>
          <w:tcPr>
            <w:tcW w:type="dxa" w:w="2556"/>
            <w:shd w:fill="17324D"/>
          </w:tcPr>
          <w:p>
            <w:r/>
            <w:r>
              <w:rPr>
                <w:b/>
                <w:color w:val="FFFFFF"/>
                <w:sz w:val="18"/>
              </w:rPr>
              <w:t>Main content ecosystem</w:t>
            </w:r>
          </w:p>
        </w:tc>
      </w:tr>
      <w:tr>
        <w:tc>
          <w:tcPr>
            <w:tcW w:type="dxa" w:w="2556"/>
            <w:vAlign w:val="top"/>
          </w:tcPr>
          <w:p>
            <w:r>
              <w:rPr>
                <w:sz w:val="18"/>
              </w:rPr>
              <w:t>Stonebridge Construction</w:t>
            </w:r>
          </w:p>
        </w:tc>
        <w:tc>
          <w:tcPr>
            <w:tcW w:type="dxa" w:w="2556"/>
            <w:vAlign w:val="top"/>
          </w:tcPr>
          <w:p>
            <w:r>
              <w:rPr>
                <w:sz w:val="18"/>
              </w:rPr>
              <w:t>Corporate Authority</w:t>
            </w:r>
          </w:p>
        </w:tc>
        <w:tc>
          <w:tcPr>
            <w:tcW w:type="dxa" w:w="2556"/>
            <w:vAlign w:val="top"/>
          </w:tcPr>
          <w:p>
            <w:r>
              <w:rPr>
                <w:sz w:val="18"/>
              </w:rPr>
              <w:t>Authority / Scale / Trust</w:t>
            </w:r>
          </w:p>
        </w:tc>
        <w:tc>
          <w:tcPr>
            <w:tcW w:type="dxa" w:w="2556"/>
            <w:vAlign w:val="top"/>
          </w:tcPr>
          <w:p>
            <w:r>
              <w:rPr>
                <w:sz w:val="18"/>
              </w:rPr>
              <w:t>Company, capabilities, projects, leadership, recognition, contact</w:t>
            </w:r>
          </w:p>
        </w:tc>
      </w:tr>
      <w:tr>
        <w:tc>
          <w:tcPr>
            <w:tcW w:type="dxa" w:w="2556"/>
            <w:vAlign w:val="top"/>
          </w:tcPr>
          <w:p>
            <w:r>
              <w:rPr>
                <w:sz w:val="18"/>
              </w:rPr>
              <w:t>Milto Engineering PLC</w:t>
            </w:r>
          </w:p>
        </w:tc>
        <w:tc>
          <w:tcPr>
            <w:tcW w:type="dxa" w:w="2556"/>
            <w:vAlign w:val="top"/>
          </w:tcPr>
          <w:p>
            <w:r>
              <w:rPr>
                <w:sz w:val="18"/>
              </w:rPr>
              <w:t>Editorial Expertise</w:t>
            </w:r>
          </w:p>
        </w:tc>
        <w:tc>
          <w:tcPr>
            <w:tcW w:type="dxa" w:w="2556"/>
            <w:vAlign w:val="top"/>
          </w:tcPr>
          <w:p>
            <w:r>
              <w:rPr>
                <w:sz w:val="18"/>
              </w:rPr>
              <w:t>Knowledge / Expertise / Impact</w:t>
            </w:r>
          </w:p>
        </w:tc>
        <w:tc>
          <w:tcPr>
            <w:tcW w:type="dxa" w:w="2556"/>
            <w:vAlign w:val="top"/>
          </w:tcPr>
          <w:p>
            <w:r>
              <w:rPr>
                <w:sz w:val="18"/>
              </w:rPr>
              <w:t>Expertise, projects, case studies, resources, insights, contact</w:t>
            </w:r>
          </w:p>
        </w:tc>
      </w:tr>
      <w:tr>
        <w:tc>
          <w:tcPr>
            <w:tcW w:type="dxa" w:w="2556"/>
            <w:vAlign w:val="top"/>
          </w:tcPr>
          <w:p>
            <w:r>
              <w:rPr>
                <w:sz w:val="18"/>
              </w:rPr>
              <w:t>Robi Hotel</w:t>
            </w:r>
          </w:p>
        </w:tc>
        <w:tc>
          <w:tcPr>
            <w:tcW w:type="dxa" w:w="2556"/>
            <w:vAlign w:val="top"/>
          </w:tcPr>
          <w:p>
            <w:r>
              <w:rPr>
                <w:sz w:val="18"/>
              </w:rPr>
              <w:t>Premium Experience</w:t>
            </w:r>
          </w:p>
        </w:tc>
        <w:tc>
          <w:tcPr>
            <w:tcW w:type="dxa" w:w="2556"/>
            <w:vAlign w:val="top"/>
          </w:tcPr>
          <w:p>
            <w:r>
              <w:rPr>
                <w:sz w:val="18"/>
              </w:rPr>
              <w:t>Emotion / Experience / Brand</w:t>
            </w:r>
          </w:p>
        </w:tc>
        <w:tc>
          <w:tcPr>
            <w:tcW w:type="dxa" w:w="2556"/>
            <w:vAlign w:val="top"/>
          </w:tcPr>
          <w:p>
            <w:r>
              <w:rPr>
                <w:sz w:val="18"/>
              </w:rPr>
              <w:t>Story, accommodation/experiences, gallery, recognition, journal, contact</w:t>
            </w:r>
          </w:p>
        </w:tc>
      </w:tr>
    </w:tbl>
    <w:p/>
    <w:p>
      <w:pPr>
        <w:pStyle w:val="Heading1"/>
      </w:pPr>
      <w:r>
        <w:t>5. Recommended Starting Point</w:t>
      </w:r>
    </w:p>
    <w:p>
      <w:r>
        <w:t>Start with Stonebridge Construction using Template 01 — Corporate Authority. It is the broadest corporate model and can exercise the largest shared set of Professional Presence patterns before the more specialized Editorial Expertise and Premium Experience manuals are applied to their examples.</w:t>
      </w:r>
    </w:p>
    <w:p>
      <w:pPr>
        <w:pStyle w:val="ListBullet"/>
      </w:pPr>
      <w:r>
        <w:t>Corporate identity and history</w:t>
      </w:r>
    </w:p>
    <w:p>
      <w:pPr>
        <w:pStyle w:val="ListBullet"/>
      </w:pPr>
      <w:r>
        <w:t>Services/capabilities and business areas</w:t>
      </w:r>
    </w:p>
    <w:p>
      <w:pPr>
        <w:pStyle w:val="ListBullet"/>
      </w:pPr>
      <w:r>
        <w:t>Projects and project detail</w:t>
      </w:r>
    </w:p>
    <w:p>
      <w:pPr>
        <w:pStyle w:val="ListBullet"/>
      </w:pPr>
      <w:r>
        <w:t>Leadership and profiles</w:t>
      </w:r>
    </w:p>
    <w:p>
      <w:pPr>
        <w:pStyle w:val="ListBullet"/>
      </w:pPr>
      <w:r>
        <w:t>Statistics and corporate proof</w:t>
      </w:r>
    </w:p>
    <w:p>
      <w:pPr>
        <w:pStyle w:val="ListBullet"/>
      </w:pPr>
      <w:r>
        <w:t>Recognition, certifications, and partners</w:t>
      </w:r>
    </w:p>
    <w:p>
      <w:pPr>
        <w:pStyle w:val="ListBullet"/>
      </w:pPr>
      <w:r>
        <w:t>Resources and company documents</w:t>
      </w:r>
    </w:p>
    <w:p>
      <w:pPr>
        <w:pStyle w:val="ListBullet"/>
      </w:pPr>
      <w:r>
        <w:t>News/updates</w:t>
      </w:r>
    </w:p>
    <w:p>
      <w:pPr>
        <w:pStyle w:val="ListBullet"/>
      </w:pPr>
      <w:r>
        <w:t>Contact and locations</w:t>
      </w:r>
    </w:p>
    <w:p>
      <w:pPr>
        <w:pStyle w:val="Heading1"/>
      </w:pPr>
      <w:r>
        <w:t>6. What Happens After Selection</w:t>
      </w:r>
    </w:p>
    <w:p>
      <w:r>
        <w:t>The selected template manual becomes the foundation for the client-specific design manual. The client-specific manual should not repeat the entire package workflow. It should resolve the template against the actual client brand and content.</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Template manual provides</w:t>
            </w:r>
          </w:p>
        </w:tc>
        <w:tc>
          <w:tcPr>
            <w:tcW w:type="dxa" w:w="5112"/>
            <w:shd w:fill="17324D"/>
          </w:tcPr>
          <w:p>
            <w:r/>
            <w:r>
              <w:rPr>
                <w:b/>
                <w:color w:val="FFFFFF"/>
                <w:sz w:val="18"/>
              </w:rPr>
              <w:t>Client-specific manual resolves</w:t>
            </w:r>
          </w:p>
        </w:tc>
      </w:tr>
      <w:tr>
        <w:tc>
          <w:tcPr>
            <w:tcW w:type="dxa" w:w="5112"/>
            <w:vAlign w:val="top"/>
          </w:tcPr>
          <w:p>
            <w:r>
              <w:rPr>
                <w:sz w:val="18"/>
              </w:rPr>
              <w:t>Template design character</w:t>
            </w:r>
          </w:p>
        </w:tc>
        <w:tc>
          <w:tcPr>
            <w:tcW w:type="dxa" w:w="5112"/>
            <w:vAlign w:val="top"/>
          </w:tcPr>
          <w:p>
            <w:r>
              <w:rPr>
                <w:sz w:val="18"/>
              </w:rPr>
              <w:t>Actual client visual character and brand expression</w:t>
            </w:r>
          </w:p>
        </w:tc>
      </w:tr>
      <w:tr>
        <w:tc>
          <w:tcPr>
            <w:tcW w:type="dxa" w:w="5112"/>
            <w:vAlign w:val="top"/>
          </w:tcPr>
          <w:p>
            <w:r>
              <w:rPr>
                <w:sz w:val="18"/>
              </w:rPr>
              <w:t>Reusable typography strategy</w:t>
            </w:r>
          </w:p>
        </w:tc>
        <w:tc>
          <w:tcPr>
            <w:tcW w:type="dxa" w:w="5112"/>
            <w:vAlign w:val="top"/>
          </w:tcPr>
          <w:p>
            <w:r>
              <w:rPr>
                <w:sz w:val="18"/>
              </w:rPr>
              <w:t>Final fonts, weights, hierarchy and measured values</w:t>
            </w:r>
          </w:p>
        </w:tc>
      </w:tr>
      <w:tr>
        <w:tc>
          <w:tcPr>
            <w:tcW w:type="dxa" w:w="5112"/>
            <w:vAlign w:val="top"/>
          </w:tcPr>
          <w:p>
            <w:r>
              <w:rPr>
                <w:sz w:val="18"/>
              </w:rPr>
              <w:t>Layout and component patterns</w:t>
            </w:r>
          </w:p>
        </w:tc>
        <w:tc>
          <w:tcPr>
            <w:tcW w:type="dxa" w:w="5112"/>
            <w:vAlign w:val="top"/>
          </w:tcPr>
          <w:p>
            <w:r>
              <w:rPr>
                <w:sz w:val="18"/>
              </w:rPr>
              <w:t>Actual page compositions and approved variants</w:t>
            </w:r>
          </w:p>
        </w:tc>
      </w:tr>
      <w:tr>
        <w:tc>
          <w:tcPr>
            <w:tcW w:type="dxa" w:w="5112"/>
            <w:vAlign w:val="top"/>
          </w:tcPr>
          <w:p>
            <w:r>
              <w:rPr>
                <w:sz w:val="18"/>
              </w:rPr>
              <w:t>Template color direction</w:t>
            </w:r>
          </w:p>
        </w:tc>
        <w:tc>
          <w:tcPr>
            <w:tcW w:type="dxa" w:w="5112"/>
            <w:vAlign w:val="top"/>
          </w:tcPr>
          <w:p>
            <w:r>
              <w:rPr>
                <w:sz w:val="18"/>
              </w:rPr>
              <w:t>Actual palette and semantic color tokens</w:t>
            </w:r>
          </w:p>
        </w:tc>
      </w:tr>
      <w:tr>
        <w:tc>
          <w:tcPr>
            <w:tcW w:type="dxa" w:w="5112"/>
            <w:vAlign w:val="top"/>
          </w:tcPr>
          <w:p>
            <w:r>
              <w:rPr>
                <w:sz w:val="18"/>
              </w:rPr>
              <w:t>Responsive rules</w:t>
            </w:r>
          </w:p>
        </w:tc>
        <w:tc>
          <w:tcPr>
            <w:tcW w:type="dxa" w:w="5112"/>
            <w:vAlign w:val="top"/>
          </w:tcPr>
          <w:p>
            <w:r>
              <w:rPr>
                <w:sz w:val="18"/>
              </w:rPr>
              <w:t>Client-specific responsive adjustments</w:t>
            </w:r>
          </w:p>
        </w:tc>
      </w:tr>
      <w:tr>
        <w:tc>
          <w:tcPr>
            <w:tcW w:type="dxa" w:w="5112"/>
            <w:vAlign w:val="top"/>
          </w:tcPr>
          <w:p>
            <w:r>
              <w:rPr>
                <w:sz w:val="18"/>
              </w:rPr>
              <w:t>General imagery rules</w:t>
            </w:r>
          </w:p>
        </w:tc>
        <w:tc>
          <w:tcPr>
            <w:tcW w:type="dxa" w:w="5112"/>
            <w:vAlign w:val="top"/>
          </w:tcPr>
          <w:p>
            <w:r>
              <w:rPr>
                <w:sz w:val="18"/>
              </w:rPr>
              <w:t>Actual photography direction, crops, ratios, and asset usage</w:t>
            </w:r>
          </w:p>
        </w:tc>
      </w:tr>
      <w:tr>
        <w:tc>
          <w:tcPr>
            <w:tcW w:type="dxa" w:w="5112"/>
            <w:vAlign w:val="top"/>
          </w:tcPr>
          <w:p>
            <w:r>
              <w:rPr>
                <w:sz w:val="18"/>
              </w:rPr>
              <w:t>Template page families</w:t>
            </w:r>
          </w:p>
        </w:tc>
        <w:tc>
          <w:tcPr>
            <w:tcW w:type="dxa" w:w="5112"/>
            <w:vAlign w:val="top"/>
          </w:tcPr>
          <w:p>
            <w:r>
              <w:rPr>
                <w:sz w:val="18"/>
              </w:rPr>
              <w:t>Final sitemap/page set for the example client</w:t>
            </w:r>
          </w:p>
        </w:tc>
      </w:tr>
      <w:tr>
        <w:tc>
          <w:tcPr>
            <w:tcW w:type="dxa" w:w="5112"/>
            <w:vAlign w:val="top"/>
          </w:tcPr>
          <w:p>
            <w:r>
              <w:rPr>
                <w:sz w:val="18"/>
              </w:rPr>
              <w:t>General interaction/motion rules</w:t>
            </w:r>
          </w:p>
        </w:tc>
        <w:tc>
          <w:tcPr>
            <w:tcW w:type="dxa" w:w="5112"/>
            <w:vAlign w:val="top"/>
          </w:tcPr>
          <w:p>
            <w:r>
              <w:rPr>
                <w:sz w:val="18"/>
              </w:rPr>
              <w:t>Approved client-specific motion and interaction choices</w:t>
            </w:r>
          </w:p>
        </w:tc>
      </w:tr>
    </w:tbl>
    <w:p/>
    <w:p>
      <w:pPr>
        <w:pStyle w:val="Heading1"/>
      </w:pPr>
      <w:r>
        <w:t>7. Client-Specific Manual Structure</w:t>
      </w:r>
    </w:p>
    <w:p>
      <w:pPr>
        <w:pStyle w:val="ListBullet"/>
      </w:pPr>
      <w:r>
        <w:t>Client and template overview</w:t>
      </w:r>
    </w:p>
    <w:p>
      <w:pPr>
        <w:pStyle w:val="ListBullet"/>
      </w:pPr>
      <w:r>
        <w:t>Design character</w:t>
      </w:r>
    </w:p>
    <w:p>
      <w:pPr>
        <w:pStyle w:val="ListBullet"/>
      </w:pPr>
      <w:r>
        <w:t>Brand application</w:t>
      </w:r>
    </w:p>
    <w:p>
      <w:pPr>
        <w:pStyle w:val="ListBullet"/>
      </w:pPr>
      <w:r>
        <w:t>Exact design tokens</w:t>
      </w:r>
    </w:p>
    <w:p>
      <w:pPr>
        <w:pStyle w:val="ListBullet"/>
      </w:pPr>
      <w:r>
        <w:t>Typography system</w:t>
      </w:r>
    </w:p>
    <w:p>
      <w:pPr>
        <w:pStyle w:val="ListBullet"/>
      </w:pPr>
      <w:r>
        <w:t>Grid and spacing</w:t>
      </w:r>
    </w:p>
    <w:p>
      <w:pPr>
        <w:pStyle w:val="ListBullet"/>
      </w:pPr>
      <w:r>
        <w:t>Navigation and header</w:t>
      </w:r>
    </w:p>
    <w:p>
      <w:pPr>
        <w:pStyle w:val="ListBullet"/>
      </w:pPr>
      <w:r>
        <w:t>Homepage specification</w:t>
      </w:r>
    </w:p>
    <w:p>
      <w:pPr>
        <w:pStyle w:val="ListBullet"/>
      </w:pPr>
      <w:r>
        <w:t>Internal page specifications</w:t>
      </w:r>
    </w:p>
    <w:p>
      <w:pPr>
        <w:pStyle w:val="ListBullet"/>
      </w:pPr>
      <w:r>
        <w:t>Component usage and variants</w:t>
      </w:r>
    </w:p>
    <w:p>
      <w:pPr>
        <w:pStyle w:val="ListBullet"/>
      </w:pPr>
      <w:r>
        <w:t>Imagery and asset direction</w:t>
      </w:r>
    </w:p>
    <w:p>
      <w:pPr>
        <w:pStyle w:val="ListBullet"/>
      </w:pPr>
      <w:r>
        <w:t>Responsive behavior</w:t>
      </w:r>
    </w:p>
    <w:p>
      <w:pPr>
        <w:pStyle w:val="ListBullet"/>
      </w:pPr>
      <w:r>
        <w:t>Accessibility requirements</w:t>
      </w:r>
    </w:p>
    <w:p>
      <w:pPr>
        <w:pStyle w:val="ListBullet"/>
      </w:pPr>
      <w:r>
        <w:t>Motion and interaction</w:t>
      </w:r>
    </w:p>
    <w:p>
      <w:pPr>
        <w:pStyle w:val="ListBullet"/>
      </w:pPr>
      <w:r>
        <w:t>Anti-patterns</w:t>
      </w:r>
    </w:p>
    <w:p>
      <w:pPr>
        <w:pStyle w:val="ListBullet"/>
      </w:pPr>
      <w:r>
        <w:t>Implementation guidance</w:t>
      </w:r>
    </w:p>
    <w:p>
      <w:pPr>
        <w:pStyle w:val="Heading1"/>
      </w:pPr>
      <w:r>
        <w:t>8. Scope Boundary</w:t>
      </w:r>
    </w:p>
    <w:p>
      <w:r>
        <w:t>This document selects and maps examples. It does not yet define the client’s exact visual system, final sitemap, copy, assets, or implementation values. Those are created in the client-specific design manual after the template is selected.</w:t>
      </w:r>
    </w:p>
    <w:p>
      <w:pPr>
        <w:pStyle w:val="Heading1"/>
      </w:pPr>
      <w:r>
        <w:t>9. Next Step</w:t>
      </w:r>
    </w:p>
    <w:p>
      <w:r>
        <w:t>Proceed with Template 01 — Corporate Authority + Stonebridge Construction, then create the client-specific design manual using the Corporate Authority template manual as the reference.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Professional Presence — Example Client Selection &amp; Template Mapping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86B3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