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D066F" w14:textId="77777777" w:rsidR="00CB6A1B" w:rsidRPr="00CB6A1B" w:rsidRDefault="00CB6A1B" w:rsidP="00CB6A1B">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CB6A1B">
        <w:rPr>
          <w:rFonts w:ascii="Times New Roman" w:eastAsia="Times New Roman" w:hAnsi="Times New Roman" w:cs="Times New Roman"/>
          <w:b/>
          <w:bCs/>
          <w:kern w:val="36"/>
          <w:sz w:val="48"/>
          <w:szCs w:val="48"/>
          <w:lang w:eastAsia="tr-TR"/>
          <w14:ligatures w14:val="none"/>
        </w:rPr>
        <w:t>Teknik İndikatör Çeşitleri</w:t>
      </w:r>
    </w:p>
    <w:p w14:paraId="242C9363" w14:textId="77777777" w:rsidR="00CB6A1B" w:rsidRPr="00CB6A1B" w:rsidRDefault="00CB6A1B" w:rsidP="00CB6A1B">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kern w:val="0"/>
          <w:lang w:eastAsia="tr-TR"/>
          <w14:ligatures w14:val="none"/>
        </w:rPr>
        <w:t>Kripto ve finans piyasalarında, geçmiş fiyat ve hacim verilerini analiz ederek gelecekteki fiyat hareketlerini tahmin etmeye yardımcı olan birçok farklı teknik indikatör (gösterge) bulunmaktadır. Bu indikatörler genellikle farklı kategorilere ayrılır ve her biri piyasanın farklı bir yönünü anlamamıza yardımcı olur.</w:t>
      </w:r>
    </w:p>
    <w:p w14:paraId="5D1F063E" w14:textId="77777777" w:rsidR="00CB6A1B" w:rsidRPr="00CB6A1B" w:rsidRDefault="00CB6A1B" w:rsidP="00CB6A1B">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kern w:val="0"/>
          <w:lang w:eastAsia="tr-TR"/>
          <w14:ligatures w14:val="none"/>
        </w:rPr>
        <w:t>Daha önce konuştuğumuz RSI, MACD ve Hareketli Ortalamalar en popüler olanlardan bazılarıdır. İşte diğer yaygın indikatör türleri:</w:t>
      </w:r>
    </w:p>
    <w:p w14:paraId="0A3F6B18" w14:textId="77777777" w:rsidR="00CB6A1B" w:rsidRPr="00CB6A1B" w:rsidRDefault="00CB6A1B" w:rsidP="00CB6A1B">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CB6A1B">
        <w:rPr>
          <w:rFonts w:ascii="Times New Roman" w:eastAsia="Times New Roman" w:hAnsi="Times New Roman" w:cs="Times New Roman"/>
          <w:b/>
          <w:bCs/>
          <w:kern w:val="0"/>
          <w:sz w:val="36"/>
          <w:szCs w:val="36"/>
          <w:lang w:eastAsia="tr-TR"/>
          <w14:ligatures w14:val="none"/>
        </w:rPr>
        <w:t>1. Trend İndikatörleri (Trend-Following Indicators)</w:t>
      </w:r>
    </w:p>
    <w:p w14:paraId="3DFC20C8" w14:textId="77777777" w:rsidR="00CB6A1B" w:rsidRPr="00CB6A1B" w:rsidRDefault="00CB6A1B" w:rsidP="00CB6A1B">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kern w:val="0"/>
          <w:lang w:eastAsia="tr-TR"/>
          <w14:ligatures w14:val="none"/>
        </w:rPr>
        <w:t>Bu indikatörler, piyasanın genel yönünü (yükseliş, düşüş veya yatay) belirlemeye ve trendin gücünü ölçmeye yardımcı olur. Genellikle fiyat hareketlerinin gerisinden gelirler (gecikmeli indikatörler).</w:t>
      </w:r>
    </w:p>
    <w:p w14:paraId="0C8260D1" w14:textId="77777777" w:rsidR="00CB6A1B" w:rsidRPr="00CB6A1B" w:rsidRDefault="00CB6A1B" w:rsidP="00CB6A1B">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Hareketli Ortalamalar (Moving Averages - MA / EMA):</w:t>
      </w:r>
    </w:p>
    <w:p w14:paraId="00C8E255" w14:textId="77777777" w:rsidR="00CB6A1B" w:rsidRPr="00CB6A1B" w:rsidRDefault="00CB6A1B" w:rsidP="00CB6A1B">
      <w:pPr>
        <w:numPr>
          <w:ilvl w:val="1"/>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Açıklama:</w:t>
      </w:r>
      <w:r w:rsidRPr="00CB6A1B">
        <w:rPr>
          <w:rFonts w:ascii="Times New Roman" w:eastAsia="Times New Roman" w:hAnsi="Times New Roman" w:cs="Times New Roman"/>
          <w:kern w:val="0"/>
          <w:lang w:eastAsia="tr-TR"/>
          <w14:ligatures w14:val="none"/>
        </w:rPr>
        <w:t xml:space="preserve"> Belirli bir dönemdeki ortalama fiyatı gösteren çizgilerdir. Fiyatın ortalamanın üzerinde olması yükseliş, altında olması düşüş eğilimi gösterir. Farklı periyotlardaki hareketli ortalamaların kesişimleri (Golden Cross, Death Cross) alım/satım sinyalleri verebilir.</w:t>
      </w:r>
    </w:p>
    <w:p w14:paraId="359F9765" w14:textId="77777777" w:rsidR="00CB6A1B" w:rsidRPr="00CB6A1B" w:rsidRDefault="00CB6A1B" w:rsidP="00CB6A1B">
      <w:pPr>
        <w:numPr>
          <w:ilvl w:val="1"/>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Örnekler:</w:t>
      </w:r>
      <w:r w:rsidRPr="00CB6A1B">
        <w:rPr>
          <w:rFonts w:ascii="Times New Roman" w:eastAsia="Times New Roman" w:hAnsi="Times New Roman" w:cs="Times New Roman"/>
          <w:kern w:val="0"/>
          <w:lang w:eastAsia="tr-TR"/>
          <w14:ligatures w14:val="none"/>
        </w:rPr>
        <w:t xml:space="preserve"> Basit Hareketli Ortalama (SMA), Üstel Hareketli Ortalama (EMA).</w:t>
      </w:r>
    </w:p>
    <w:p w14:paraId="467FC03B" w14:textId="77777777" w:rsidR="00CB6A1B" w:rsidRPr="00CB6A1B" w:rsidRDefault="00CB6A1B" w:rsidP="00CB6A1B">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MACD (Moving Average Convergence Divergence):</w:t>
      </w:r>
    </w:p>
    <w:p w14:paraId="2DFE61C4" w14:textId="77777777" w:rsidR="00CB6A1B" w:rsidRPr="00CB6A1B" w:rsidRDefault="00CB6A1B" w:rsidP="00CB6A1B">
      <w:pPr>
        <w:numPr>
          <w:ilvl w:val="1"/>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Açıklama:</w:t>
      </w:r>
      <w:r w:rsidRPr="00CB6A1B">
        <w:rPr>
          <w:rFonts w:ascii="Times New Roman" w:eastAsia="Times New Roman" w:hAnsi="Times New Roman" w:cs="Times New Roman"/>
          <w:kern w:val="0"/>
          <w:lang w:eastAsia="tr-TR"/>
          <w14:ligatures w14:val="none"/>
        </w:rPr>
        <w:t xml:space="preserve"> İki farklı üssel hareketli ortalamanın (genellikle 12 ve 26 periyotluk EMA) arasındaki ilişkiyi gösterir. Bir MACD çizgisi, bir sinyal çizgisi ve bir histogramdan oluşur. Trendin yönünü, gücünü ve olası dönüş noktalarını belirlemeye yardımcı olur.</w:t>
      </w:r>
    </w:p>
    <w:p w14:paraId="12F956E0" w14:textId="77777777" w:rsidR="00CB6A1B" w:rsidRPr="00CB6A1B" w:rsidRDefault="00CB6A1B" w:rsidP="00CB6A1B">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Bollinger Bantları (Bollinger Bands - BB):</w:t>
      </w:r>
    </w:p>
    <w:p w14:paraId="02868B79" w14:textId="77777777" w:rsidR="00CB6A1B" w:rsidRPr="00CB6A1B" w:rsidRDefault="00CB6A1B" w:rsidP="00CB6A1B">
      <w:pPr>
        <w:numPr>
          <w:ilvl w:val="1"/>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Açıklama:</w:t>
      </w:r>
      <w:r w:rsidRPr="00CB6A1B">
        <w:rPr>
          <w:rFonts w:ascii="Times New Roman" w:eastAsia="Times New Roman" w:hAnsi="Times New Roman" w:cs="Times New Roman"/>
          <w:kern w:val="0"/>
          <w:lang w:eastAsia="tr-TR"/>
          <w14:ligatures w14:val="none"/>
        </w:rPr>
        <w:t xml:space="preserve"> Bir basit hareketli ortalamanın etrafında, fiyatın genellikle hareket ettiği bir üst ve alt banttan oluşur. Bantların daralması düşük volatiliteyi (sıkışma), genişlemesi yüksek volatiliteyi (genişleme) gösterir. Fiyatın bant dışına çıkması aşırı alım/satım veya trendin devamı sinyali verebilir.</w:t>
      </w:r>
    </w:p>
    <w:p w14:paraId="7EA147FE" w14:textId="77777777" w:rsidR="00CB6A1B" w:rsidRPr="00CB6A1B" w:rsidRDefault="00CB6A1B" w:rsidP="00CB6A1B">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Parabolik SAR (Parabolic Stop and Reverse - PSAR):</w:t>
      </w:r>
    </w:p>
    <w:p w14:paraId="0C53CD78" w14:textId="77777777" w:rsidR="00CB6A1B" w:rsidRPr="00CB6A1B" w:rsidRDefault="00CB6A1B" w:rsidP="00CB6A1B">
      <w:pPr>
        <w:numPr>
          <w:ilvl w:val="1"/>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Açıklama:</w:t>
      </w:r>
      <w:r w:rsidRPr="00CB6A1B">
        <w:rPr>
          <w:rFonts w:ascii="Times New Roman" w:eastAsia="Times New Roman" w:hAnsi="Times New Roman" w:cs="Times New Roman"/>
          <w:kern w:val="0"/>
          <w:lang w:eastAsia="tr-TR"/>
          <w14:ligatures w14:val="none"/>
        </w:rPr>
        <w:t xml:space="preserve"> Fiyatın altında veya üstünde noktalar şeklinde görünür ve trendin yönünü ve potansiyel trend dönüş noktalarını belirlemeye yardımcı olur. Fiyatın altında olduğunda yükseliş, üstünde olduğunda düşüş trendi olduğunu gösterir.</w:t>
      </w:r>
    </w:p>
    <w:p w14:paraId="05FE3842" w14:textId="77777777" w:rsidR="00CB6A1B" w:rsidRPr="00CB6A1B" w:rsidRDefault="00CB6A1B" w:rsidP="00CB6A1B">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CB6A1B">
        <w:rPr>
          <w:rFonts w:ascii="Times New Roman" w:eastAsia="Times New Roman" w:hAnsi="Times New Roman" w:cs="Times New Roman"/>
          <w:b/>
          <w:bCs/>
          <w:kern w:val="0"/>
          <w:sz w:val="36"/>
          <w:szCs w:val="36"/>
          <w:lang w:eastAsia="tr-TR"/>
          <w14:ligatures w14:val="none"/>
        </w:rPr>
        <w:t>2. Momentum İndikatörleri (Oscillators)</w:t>
      </w:r>
    </w:p>
    <w:p w14:paraId="04C0F048" w14:textId="77777777" w:rsidR="00CB6A1B" w:rsidRPr="00CB6A1B" w:rsidRDefault="00CB6A1B" w:rsidP="00CB6A1B">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kern w:val="0"/>
          <w:lang w:eastAsia="tr-TR"/>
          <w14:ligatures w14:val="none"/>
        </w:rPr>
        <w:t>Bu indikatörler, fiyat hareketlerinin hızını ve gücünü ölçer. Genellikle belirli bir aralıkta (örneğin 0-100) salınım yaparlar ve aşırı alım/satım koşullarını belirlemede etkilidirler. Trend dönüşlerini önceden haber verebilirler (öncü indikatörler).</w:t>
      </w:r>
    </w:p>
    <w:p w14:paraId="78CEA563" w14:textId="77777777" w:rsidR="00CB6A1B" w:rsidRPr="00CB6A1B" w:rsidRDefault="00CB6A1B" w:rsidP="00CB6A1B">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RSI (Relative Strength Index - Göreceli Güç Endeksi):</w:t>
      </w:r>
    </w:p>
    <w:p w14:paraId="2AABBFC0" w14:textId="77777777" w:rsidR="00CB6A1B" w:rsidRPr="00CB6A1B" w:rsidRDefault="00CB6A1B" w:rsidP="00CB6A1B">
      <w:pPr>
        <w:numPr>
          <w:ilvl w:val="1"/>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Açıklama:</w:t>
      </w:r>
      <w:r w:rsidRPr="00CB6A1B">
        <w:rPr>
          <w:rFonts w:ascii="Times New Roman" w:eastAsia="Times New Roman" w:hAnsi="Times New Roman" w:cs="Times New Roman"/>
          <w:kern w:val="0"/>
          <w:lang w:eastAsia="tr-TR"/>
          <w14:ligatures w14:val="none"/>
        </w:rPr>
        <w:t xml:space="preserve"> Bir varlığın aşırı alınıp satılmadığını gösteren en popüler momentum indikatörlerinden biridir. Genellikle 70 üzeri aşırı alım, 30 altı aşırı satım olarak yorumlanır.</w:t>
      </w:r>
    </w:p>
    <w:p w14:paraId="19E7FB19" w14:textId="77777777" w:rsidR="00CB6A1B" w:rsidRPr="00CB6A1B" w:rsidRDefault="00CB6A1B" w:rsidP="00CB6A1B">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lastRenderedPageBreak/>
        <w:t>Stokastik Osilatör (Stochastic Oscillator):</w:t>
      </w:r>
    </w:p>
    <w:p w14:paraId="7398B975" w14:textId="77777777" w:rsidR="00CB6A1B" w:rsidRPr="00CB6A1B" w:rsidRDefault="00CB6A1B" w:rsidP="00CB6A1B">
      <w:pPr>
        <w:numPr>
          <w:ilvl w:val="1"/>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Açıklama:</w:t>
      </w:r>
      <w:r w:rsidRPr="00CB6A1B">
        <w:rPr>
          <w:rFonts w:ascii="Times New Roman" w:eastAsia="Times New Roman" w:hAnsi="Times New Roman" w:cs="Times New Roman"/>
          <w:kern w:val="0"/>
          <w:lang w:eastAsia="tr-TR"/>
          <w14:ligatures w14:val="none"/>
        </w:rPr>
        <w:t xml:space="preserve"> Bir varlığın kapanış fiyatının belirli bir dönemdeki fiyat aralığına göre nerede olduğunu gösterir. RSI'ya benzer şekilde aşırı alım (80 üzeri) ve aşırı satım (20 altı) bölgeleri vardır. Fiyat ile osilatör arasındaki uyumsuzluklar önemli sinyaller verebilir.</w:t>
      </w:r>
    </w:p>
    <w:p w14:paraId="450FB35E" w14:textId="77777777" w:rsidR="00CB6A1B" w:rsidRPr="00CB6A1B" w:rsidRDefault="00CB6A1B" w:rsidP="00CB6A1B">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CCI (Commodity Channel Index):</w:t>
      </w:r>
    </w:p>
    <w:p w14:paraId="0660EC5A" w14:textId="77777777" w:rsidR="00CB6A1B" w:rsidRPr="00CB6A1B" w:rsidRDefault="00CB6A1B" w:rsidP="00CB6A1B">
      <w:pPr>
        <w:numPr>
          <w:ilvl w:val="1"/>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Açıklama:</w:t>
      </w:r>
      <w:r w:rsidRPr="00CB6A1B">
        <w:rPr>
          <w:rFonts w:ascii="Times New Roman" w:eastAsia="Times New Roman" w:hAnsi="Times New Roman" w:cs="Times New Roman"/>
          <w:kern w:val="0"/>
          <w:lang w:eastAsia="tr-TR"/>
          <w14:ligatures w14:val="none"/>
        </w:rPr>
        <w:t xml:space="preserve"> Fiyatın ortalama fiyatından ne kadar saptığını ölçer. Genellikle +100 üzeri aşırı alım, -100 altı aşırı satım olarak yorumlanır. Trendin başlangıcını ve sonunu belirlemede kullanılabilir.</w:t>
      </w:r>
    </w:p>
    <w:p w14:paraId="4F57EBF2" w14:textId="77777777" w:rsidR="00CB6A1B" w:rsidRPr="00CB6A1B" w:rsidRDefault="00CB6A1B" w:rsidP="00CB6A1B">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CB6A1B">
        <w:rPr>
          <w:rFonts w:ascii="Times New Roman" w:eastAsia="Times New Roman" w:hAnsi="Times New Roman" w:cs="Times New Roman"/>
          <w:b/>
          <w:bCs/>
          <w:kern w:val="0"/>
          <w:sz w:val="36"/>
          <w:szCs w:val="36"/>
          <w:lang w:eastAsia="tr-TR"/>
          <w14:ligatures w14:val="none"/>
        </w:rPr>
        <w:t>3. Volatilite İndikatörleri (Volatility Indicators)</w:t>
      </w:r>
    </w:p>
    <w:p w14:paraId="7B03860A" w14:textId="77777777" w:rsidR="00CB6A1B" w:rsidRPr="00CB6A1B" w:rsidRDefault="00CB6A1B" w:rsidP="00CB6A1B">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kern w:val="0"/>
          <w:lang w:eastAsia="tr-TR"/>
          <w14:ligatures w14:val="none"/>
        </w:rPr>
        <w:t>Bu indikatörler, fiyat değişimlerinin büyüklüğünü (oynaklık) ölçer. Yüksek volatilite, fiyatın büyük hareketler yapma potansiyelini, düşük volatilite ise fiyatın daha sabit kalma eğilimini gösterir.</w:t>
      </w:r>
    </w:p>
    <w:p w14:paraId="513A39BF" w14:textId="77777777" w:rsidR="00CB6A1B" w:rsidRPr="00CB6A1B" w:rsidRDefault="00CB6A1B" w:rsidP="00CB6A1B">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ATR (Average True Range - Ortalama Gerçek Aralık):</w:t>
      </w:r>
    </w:p>
    <w:p w14:paraId="41C64800" w14:textId="77777777" w:rsidR="00CB6A1B" w:rsidRPr="00CB6A1B" w:rsidRDefault="00CB6A1B" w:rsidP="00CB6A1B">
      <w:pPr>
        <w:numPr>
          <w:ilvl w:val="1"/>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Açıklama:</w:t>
      </w:r>
      <w:r w:rsidRPr="00CB6A1B">
        <w:rPr>
          <w:rFonts w:ascii="Times New Roman" w:eastAsia="Times New Roman" w:hAnsi="Times New Roman" w:cs="Times New Roman"/>
          <w:kern w:val="0"/>
          <w:lang w:eastAsia="tr-TR"/>
          <w14:ligatures w14:val="none"/>
        </w:rPr>
        <w:t xml:space="preserve"> Belirli bir dönemdeki ortalama fiyat aralığını ölçer. Fiyat yönünü göstermez, sadece oynaklığı gösterir. Genellikle stop-loss seviyelerini belirlemede veya piyasanın ne kadar "hareketli" olduğunu anlamada kullanılır.</w:t>
      </w:r>
    </w:p>
    <w:p w14:paraId="6EC50C40" w14:textId="77777777" w:rsidR="00CB6A1B" w:rsidRPr="00CB6A1B" w:rsidRDefault="00CB6A1B" w:rsidP="00CB6A1B">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Bollinger Bantları (Tekrar):</w:t>
      </w:r>
    </w:p>
    <w:p w14:paraId="1873F4CE" w14:textId="77777777" w:rsidR="00CB6A1B" w:rsidRPr="00CB6A1B" w:rsidRDefault="00CB6A1B" w:rsidP="00CB6A1B">
      <w:pPr>
        <w:numPr>
          <w:ilvl w:val="1"/>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Açıklama:</w:t>
      </w:r>
      <w:r w:rsidRPr="00CB6A1B">
        <w:rPr>
          <w:rFonts w:ascii="Times New Roman" w:eastAsia="Times New Roman" w:hAnsi="Times New Roman" w:cs="Times New Roman"/>
          <w:kern w:val="0"/>
          <w:lang w:eastAsia="tr-TR"/>
          <w14:ligatures w14:val="none"/>
        </w:rPr>
        <w:t xml:space="preserve"> Daha önce trend indikatörleri arasında da bahsettiğimiz Bollinger Bantları, aynı zamanda volatiliteyi de çok iyi gösterir. Bantların genişlemesi volatilite artışını, daralması ise volatilite düşüşünü işaret eder.</w:t>
      </w:r>
    </w:p>
    <w:p w14:paraId="33833890" w14:textId="77777777" w:rsidR="00CB6A1B" w:rsidRPr="00CB6A1B" w:rsidRDefault="00CB6A1B" w:rsidP="00CB6A1B">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CB6A1B">
        <w:rPr>
          <w:rFonts w:ascii="Times New Roman" w:eastAsia="Times New Roman" w:hAnsi="Times New Roman" w:cs="Times New Roman"/>
          <w:b/>
          <w:bCs/>
          <w:kern w:val="0"/>
          <w:sz w:val="36"/>
          <w:szCs w:val="36"/>
          <w:lang w:eastAsia="tr-TR"/>
          <w14:ligatures w14:val="none"/>
        </w:rPr>
        <w:t>4. Hacim İndikatörleri (Volume Indicators)</w:t>
      </w:r>
    </w:p>
    <w:p w14:paraId="4C1DA8DB" w14:textId="77777777" w:rsidR="00CB6A1B" w:rsidRPr="00CB6A1B" w:rsidRDefault="00CB6A1B" w:rsidP="00CB6A1B">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kern w:val="0"/>
          <w:lang w:eastAsia="tr-TR"/>
          <w14:ligatures w14:val="none"/>
        </w:rPr>
        <w:t>Bu indikatörler, fiyat hareketlerinin arkasındaki işlem hacmini analiz ederek trendin gücünü veya zayıflığını teyit etmeye yardımcı olur.</w:t>
      </w:r>
    </w:p>
    <w:p w14:paraId="28E3AA68" w14:textId="77777777" w:rsidR="00CB6A1B" w:rsidRPr="00CB6A1B" w:rsidRDefault="00CB6A1B" w:rsidP="00CB6A1B">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OBV (On-Balance Volume):</w:t>
      </w:r>
    </w:p>
    <w:p w14:paraId="410D313F" w14:textId="77777777" w:rsidR="00CB6A1B" w:rsidRPr="00CB6A1B" w:rsidRDefault="00CB6A1B" w:rsidP="00CB6A1B">
      <w:pPr>
        <w:numPr>
          <w:ilvl w:val="1"/>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Açıklama:</w:t>
      </w:r>
      <w:r w:rsidRPr="00CB6A1B">
        <w:rPr>
          <w:rFonts w:ascii="Times New Roman" w:eastAsia="Times New Roman" w:hAnsi="Times New Roman" w:cs="Times New Roman"/>
          <w:kern w:val="0"/>
          <w:lang w:eastAsia="tr-TR"/>
          <w14:ligatures w14:val="none"/>
        </w:rPr>
        <w:t xml:space="preserve"> Fiyatın yükseldiği günlerdeki hacmi toplar, düştüğü günlerdeki hacmi çıkarır. OBV'nin fiyatla birlikte yükselmesi trendin gücünü teyit ederken, fiyat yükselirken OBV'nin düşmesi trendin zayıfladığını veya bir dönüşün yakın olduğunu gösterebilir (uyumsuzluk).</w:t>
      </w:r>
    </w:p>
    <w:p w14:paraId="32271315" w14:textId="77777777" w:rsidR="00CB6A1B" w:rsidRPr="00CB6A1B" w:rsidRDefault="00CB6A1B" w:rsidP="00CB6A1B">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Chaikin Money Flow (CMF):</w:t>
      </w:r>
    </w:p>
    <w:p w14:paraId="2013D443" w14:textId="77777777" w:rsidR="00CB6A1B" w:rsidRPr="00CB6A1B" w:rsidRDefault="00CB6A1B" w:rsidP="00CB6A1B">
      <w:pPr>
        <w:numPr>
          <w:ilvl w:val="1"/>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b/>
          <w:bCs/>
          <w:kern w:val="0"/>
          <w:lang w:eastAsia="tr-TR"/>
          <w14:ligatures w14:val="none"/>
        </w:rPr>
        <w:t>Açıklama:</w:t>
      </w:r>
      <w:r w:rsidRPr="00CB6A1B">
        <w:rPr>
          <w:rFonts w:ascii="Times New Roman" w:eastAsia="Times New Roman" w:hAnsi="Times New Roman" w:cs="Times New Roman"/>
          <w:kern w:val="0"/>
          <w:lang w:eastAsia="tr-TR"/>
          <w14:ligatures w14:val="none"/>
        </w:rPr>
        <w:t xml:space="preserve"> Belirli bir dönemdeki para akışını (alım/satım baskısı) ölçer. Pozitif değerler alım baskısını, negatif değerler satım baskısını gösterir.</w:t>
      </w:r>
    </w:p>
    <w:p w14:paraId="33C2DAB1" w14:textId="77777777" w:rsidR="00CB6A1B" w:rsidRPr="00CB6A1B" w:rsidRDefault="00CB6A1B" w:rsidP="00CB6A1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CB6A1B">
        <w:rPr>
          <w:rFonts w:ascii="Times New Roman" w:eastAsia="Times New Roman" w:hAnsi="Times New Roman" w:cs="Times New Roman"/>
          <w:b/>
          <w:bCs/>
          <w:kern w:val="0"/>
          <w:sz w:val="27"/>
          <w:szCs w:val="27"/>
          <w:lang w:eastAsia="tr-TR"/>
          <w14:ligatures w14:val="none"/>
        </w:rPr>
        <w:t>Önemli Not:</w:t>
      </w:r>
    </w:p>
    <w:p w14:paraId="554C95A9" w14:textId="77777777" w:rsidR="00CB6A1B" w:rsidRPr="00CB6A1B" w:rsidRDefault="00CB6A1B" w:rsidP="00CB6A1B">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6A1B">
        <w:rPr>
          <w:rFonts w:ascii="Times New Roman" w:eastAsia="Times New Roman" w:hAnsi="Times New Roman" w:cs="Times New Roman"/>
          <w:kern w:val="0"/>
          <w:lang w:eastAsia="tr-TR"/>
          <w14:ligatures w14:val="none"/>
        </w:rPr>
        <w:t xml:space="preserve">Hiçbir indikatör tek başına mükemmel değildir ve her zaman doğru sinyali vermez. Başarılı stratejiler genellikle birden fazla indikatörü </w:t>
      </w:r>
      <w:r w:rsidRPr="00CB6A1B">
        <w:rPr>
          <w:rFonts w:ascii="Times New Roman" w:eastAsia="Times New Roman" w:hAnsi="Times New Roman" w:cs="Times New Roman"/>
          <w:b/>
          <w:bCs/>
          <w:kern w:val="0"/>
          <w:lang w:eastAsia="tr-TR"/>
          <w14:ligatures w14:val="none"/>
        </w:rPr>
        <w:t>birleştirerek</w:t>
      </w:r>
      <w:r w:rsidRPr="00CB6A1B">
        <w:rPr>
          <w:rFonts w:ascii="Times New Roman" w:eastAsia="Times New Roman" w:hAnsi="Times New Roman" w:cs="Times New Roman"/>
          <w:kern w:val="0"/>
          <w:lang w:eastAsia="tr-TR"/>
          <w14:ligatures w14:val="none"/>
        </w:rPr>
        <w:t xml:space="preserve"> ve farklı zaman dilimlerinde </w:t>
      </w:r>
      <w:r w:rsidRPr="00CB6A1B">
        <w:rPr>
          <w:rFonts w:ascii="Times New Roman" w:eastAsia="Times New Roman" w:hAnsi="Times New Roman" w:cs="Times New Roman"/>
          <w:b/>
          <w:bCs/>
          <w:kern w:val="0"/>
          <w:lang w:eastAsia="tr-TR"/>
          <w14:ligatures w14:val="none"/>
        </w:rPr>
        <w:t>teyit alarak</w:t>
      </w:r>
      <w:r w:rsidRPr="00CB6A1B">
        <w:rPr>
          <w:rFonts w:ascii="Times New Roman" w:eastAsia="Times New Roman" w:hAnsi="Times New Roman" w:cs="Times New Roman"/>
          <w:kern w:val="0"/>
          <w:lang w:eastAsia="tr-TR"/>
          <w14:ligatures w14:val="none"/>
        </w:rPr>
        <w:t xml:space="preserve"> oluşturulur. Ayrıca, indikatörler geçmiş verilere dayandığı için geleceği garanti etmezler. Risk yönetimi her zaman en önemli faktördür.</w:t>
      </w:r>
    </w:p>
    <w:p w14:paraId="48091FBF" w14:textId="77777777" w:rsidR="0071050E" w:rsidRDefault="0071050E"/>
    <w:sectPr w:rsidR="007105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5D2"/>
    <w:multiLevelType w:val="multilevel"/>
    <w:tmpl w:val="3A541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B059C"/>
    <w:multiLevelType w:val="multilevel"/>
    <w:tmpl w:val="D5EC3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103D90"/>
    <w:multiLevelType w:val="multilevel"/>
    <w:tmpl w:val="F0906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61068B"/>
    <w:multiLevelType w:val="multilevel"/>
    <w:tmpl w:val="64988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736174">
    <w:abstractNumId w:val="1"/>
  </w:num>
  <w:num w:numId="2" w16cid:durableId="204804142">
    <w:abstractNumId w:val="2"/>
  </w:num>
  <w:num w:numId="3" w16cid:durableId="172574100">
    <w:abstractNumId w:val="3"/>
  </w:num>
  <w:num w:numId="4" w16cid:durableId="308438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A1B"/>
    <w:rsid w:val="00695460"/>
    <w:rsid w:val="0071050E"/>
    <w:rsid w:val="00A80A90"/>
    <w:rsid w:val="00CB6A1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E2DF"/>
  <w15:chartTrackingRefBased/>
  <w15:docId w15:val="{BEA17254-A309-45CA-98D5-CA818E052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B6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B6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B6A1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B6A1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B6A1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B6A1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B6A1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B6A1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B6A1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B6A1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B6A1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B6A1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B6A1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B6A1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B6A1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B6A1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B6A1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B6A1B"/>
    <w:rPr>
      <w:rFonts w:eastAsiaTheme="majorEastAsia" w:cstheme="majorBidi"/>
      <w:color w:val="272727" w:themeColor="text1" w:themeTint="D8"/>
    </w:rPr>
  </w:style>
  <w:style w:type="paragraph" w:styleId="KonuBal">
    <w:name w:val="Title"/>
    <w:basedOn w:val="Normal"/>
    <w:next w:val="Normal"/>
    <w:link w:val="KonuBalChar"/>
    <w:uiPriority w:val="10"/>
    <w:qFormat/>
    <w:rsid w:val="00CB6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B6A1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B6A1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B6A1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B6A1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B6A1B"/>
    <w:rPr>
      <w:i/>
      <w:iCs/>
      <w:color w:val="404040" w:themeColor="text1" w:themeTint="BF"/>
    </w:rPr>
  </w:style>
  <w:style w:type="paragraph" w:styleId="ListeParagraf">
    <w:name w:val="List Paragraph"/>
    <w:basedOn w:val="Normal"/>
    <w:uiPriority w:val="34"/>
    <w:qFormat/>
    <w:rsid w:val="00CB6A1B"/>
    <w:pPr>
      <w:ind w:left="720"/>
      <w:contextualSpacing/>
    </w:pPr>
  </w:style>
  <w:style w:type="character" w:styleId="GlVurgulama">
    <w:name w:val="Intense Emphasis"/>
    <w:basedOn w:val="VarsaylanParagrafYazTipi"/>
    <w:uiPriority w:val="21"/>
    <w:qFormat/>
    <w:rsid w:val="00CB6A1B"/>
    <w:rPr>
      <w:i/>
      <w:iCs/>
      <w:color w:val="0F4761" w:themeColor="accent1" w:themeShade="BF"/>
    </w:rPr>
  </w:style>
  <w:style w:type="paragraph" w:styleId="GlAlnt">
    <w:name w:val="Intense Quote"/>
    <w:basedOn w:val="Normal"/>
    <w:next w:val="Normal"/>
    <w:link w:val="GlAlntChar"/>
    <w:uiPriority w:val="30"/>
    <w:qFormat/>
    <w:rsid w:val="00CB6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B6A1B"/>
    <w:rPr>
      <w:i/>
      <w:iCs/>
      <w:color w:val="0F4761" w:themeColor="accent1" w:themeShade="BF"/>
    </w:rPr>
  </w:style>
  <w:style w:type="character" w:styleId="GlBavuru">
    <w:name w:val="Intense Reference"/>
    <w:basedOn w:val="VarsaylanParagrafYazTipi"/>
    <w:uiPriority w:val="32"/>
    <w:qFormat/>
    <w:rsid w:val="00CB6A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731</Words>
  <Characters>4171</Characters>
  <Application>Microsoft Office Word</Application>
  <DocSecurity>0</DocSecurity>
  <Lines>34</Lines>
  <Paragraphs>9</Paragraphs>
  <ScaleCrop>false</ScaleCrop>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selçuk özoğlu</dc:creator>
  <cp:keywords/>
  <dc:description/>
  <cp:lastModifiedBy>selçuk özoğlu</cp:lastModifiedBy>
  <cp:revision>1</cp:revision>
  <dcterms:created xsi:type="dcterms:W3CDTF">2025-08-18T10:32:00Z</dcterms:created>
  <dcterms:modified xsi:type="dcterms:W3CDTF">2025-08-18T10:32:00Z</dcterms:modified>
</cp:coreProperties>
</file>