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B365D"/>
          <w:sz w:val="44"/>
        </w:rPr>
        <w:t>Final Audit Laporan Rekonsiliasi Stok</w:t>
      </w:r>
    </w:p>
    <w:p>
      <w:pPr>
        <w:spacing w:before="0" w:after="320"/>
      </w:pPr>
      <w:r>
        <w:rPr>
          <w:rFonts w:ascii="Segoe UI" w:hAnsi="Segoe UI"/>
          <w:i/>
          <w:color w:val="4A777A"/>
          <w:sz w:val="24"/>
        </w:rPr>
        <w:t>Data Integrity Check &amp; Reconciliation Audit</w:t>
      </w:r>
    </w:p>
    <w:p>
      <w:pPr>
        <w:spacing w:after="320"/>
        <w:pBdr>
          <w:bottom w:val="single" w:sz="12" w:space="1" w:color="1B365D"/>
        </w:pBdr>
      </w:pPr>
    </w:p>
    <w:p>
      <w:pPr>
        <w:spacing w:before="0" w:after="240" w:line="276" w:lineRule="auto"/>
      </w:pPr>
      <w:r>
        <w:rPr>
          <w:rFonts w:ascii="Segoe UI" w:hAnsi="Segoe UI"/>
          <w:color w:val="333333"/>
          <w:sz w:val="21"/>
        </w:rPr>
        <w:t>Audit ini dilakukan untuk memverifikasi konsistensi data secara menyeluruh mulai dari data mentah pertama hingga output akhir laporan ERPNext. Ada 4 tahapan file data yang diaudit:</w:t>
      </w:r>
    </w:p>
    <w:p>
      <w:pPr>
        <w:spacing w:after="80"/>
        <w:ind w:left="360"/>
      </w:pPr>
      <w:r>
        <w:rPr>
          <w:rFonts w:ascii="Segoe UI" w:hAnsi="Segoe UI"/>
          <w:b/>
          <w:color w:val="333333"/>
          <w:sz w:val="20"/>
        </w:rPr>
        <w:t xml:space="preserve">1. Original Raw Data: </w:t>
      </w:r>
      <w:r>
        <w:rPr>
          <w:rFonts w:ascii="Consolas" w:hAnsi="Consolas"/>
          <w:color w:val="1B365D"/>
          <w:sz w:val="19"/>
        </w:rPr>
        <w:t>SM - Sudah dikasih ke Alzi - Sort (1).csv</w:t>
      </w:r>
    </w:p>
    <w:p>
      <w:pPr>
        <w:spacing w:after="80"/>
        <w:ind w:left="360"/>
      </w:pPr>
      <w:r>
        <w:rPr>
          <w:rFonts w:ascii="Segoe UI" w:hAnsi="Segoe UI"/>
          <w:b/>
          <w:color w:val="333333"/>
          <w:sz w:val="20"/>
        </w:rPr>
        <w:t xml:space="preserve">2. Processed Raw Data: </w:t>
      </w:r>
      <w:r>
        <w:rPr>
          <w:rFonts w:ascii="Consolas" w:hAnsi="Consolas"/>
          <w:color w:val="1B365D"/>
          <w:sz w:val="19"/>
        </w:rPr>
        <w:t>Raw Data.csv</w:t>
      </w:r>
    </w:p>
    <w:p>
      <w:pPr>
        <w:spacing w:after="80"/>
        <w:ind w:left="360"/>
      </w:pPr>
      <w:r>
        <w:rPr>
          <w:rFonts w:ascii="Segoe UI" w:hAnsi="Segoe UI"/>
          <w:b/>
          <w:color w:val="333333"/>
          <w:sz w:val="20"/>
        </w:rPr>
        <w:t xml:space="preserve">3. ERPNext Import Data: </w:t>
      </w:r>
      <w:r>
        <w:rPr>
          <w:rFonts w:ascii="Consolas" w:hAnsi="Consolas"/>
          <w:color w:val="1B365D"/>
          <w:sz w:val="19"/>
        </w:rPr>
        <w:t>Fixed Stock Reconciliation v3.csv</w:t>
      </w:r>
    </w:p>
    <w:p>
      <w:pPr>
        <w:spacing w:after="80"/>
        <w:ind w:left="360"/>
      </w:pPr>
      <w:r>
        <w:rPr>
          <w:rFonts w:ascii="Segoe UI" w:hAnsi="Segoe UI"/>
          <w:b/>
          <w:color w:val="333333"/>
          <w:sz w:val="20"/>
        </w:rPr>
        <w:t xml:space="preserve">4. Final ERPNext Output: </w:t>
      </w:r>
      <w:r>
        <w:rPr>
          <w:rFonts w:ascii="Consolas" w:hAnsi="Consolas"/>
          <w:color w:val="1B365D"/>
          <w:sz w:val="19"/>
        </w:rPr>
        <w:t>very new output.csv</w:t>
      </w:r>
    </w:p>
    <w:p>
      <w:pPr>
        <w:keepNext/>
        <w:spacing w:before="360" w:after="160"/>
      </w:pPr>
      <w:r>
        <w:rPr>
          <w:rFonts w:ascii="Segoe UI" w:hAnsi="Segoe UI"/>
          <w:b/>
          <w:color w:val="1B365D"/>
          <w:sz w:val="28"/>
        </w:rPr>
        <w:t>Metodologi</w:t>
      </w:r>
    </w:p>
    <w:p>
      <w:pPr>
        <w:spacing w:after="160" w:line="276" w:lineRule="auto"/>
      </w:pPr>
      <w:r>
        <w:rPr>
          <w:rFonts w:ascii="Segoe UI" w:hAnsi="Segoe UI"/>
          <w:color w:val="333333"/>
          <w:sz w:val="21"/>
        </w:rPr>
        <w:t>Pengecekan dilakukan menggunakan script Python yang membaca setiap baris transaksi pada keempat file tersebut dan menjumlahkan metrik utama:</w:t>
      </w:r>
    </w:p>
    <w:p>
      <w:pPr>
        <w:spacing w:after="60"/>
        <w:ind w:left="360"/>
      </w:pPr>
      <w:r>
        <w:rPr>
          <w:rFonts w:ascii="Segoe UI" w:hAnsi="Segoe UI"/>
          <w:b/>
          <w:color w:val="333333"/>
          <w:sz w:val="20"/>
        </w:rPr>
        <w:t xml:space="preserve">• Total Qty: </w:t>
      </w:r>
      <w:r>
        <w:rPr>
          <w:rFonts w:ascii="Segoe UI" w:hAnsi="Segoe UI"/>
          <w:color w:val="333333"/>
          <w:sz w:val="20"/>
        </w:rPr>
        <w:t>Kuantitas</w:t>
      </w:r>
    </w:p>
    <w:p>
      <w:pPr>
        <w:spacing w:after="60"/>
        <w:ind w:left="360"/>
      </w:pPr>
      <w:r>
        <w:rPr>
          <w:rFonts w:ascii="Segoe UI" w:hAnsi="Segoe UI"/>
          <w:b/>
          <w:color w:val="333333"/>
          <w:sz w:val="20"/>
        </w:rPr>
        <w:t xml:space="preserve">• Total IDR: </w:t>
      </w:r>
      <w:r>
        <w:rPr>
          <w:rFonts w:ascii="Segoe UI" w:hAnsi="Segoe UI"/>
          <w:color w:val="333333"/>
          <w:sz w:val="20"/>
        </w:rPr>
        <w:t>Nominal Rupiah</w:t>
      </w:r>
    </w:p>
    <w:p>
      <w:pPr>
        <w:spacing w:after="60"/>
        <w:ind w:left="360"/>
      </w:pPr>
      <w:r>
        <w:rPr>
          <w:rFonts w:ascii="Segoe UI" w:hAnsi="Segoe UI"/>
          <w:b/>
          <w:color w:val="333333"/>
          <w:sz w:val="20"/>
        </w:rPr>
        <w:t xml:space="preserve">• Total USD: </w:t>
      </w:r>
      <w:r>
        <w:rPr>
          <w:rFonts w:ascii="Segoe UI" w:hAnsi="Segoe UI"/>
          <w:color w:val="333333"/>
          <w:sz w:val="20"/>
        </w:rPr>
        <w:t>Nominal Dolar</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0" w:line="276" w:lineRule="auto"/>
            </w:pPr>
            <w:r>
              <w:rPr>
                <w:rFonts w:ascii="Segoe UI" w:hAnsi="Segoe UI"/>
                <w:b/>
                <w:color w:val="1B365D"/>
                <w:sz w:val="19"/>
              </w:rPr>
              <w:t xml:space="preserve">CATATAN: </w:t>
            </w:r>
            <w:r>
              <w:rPr>
                <w:rFonts w:ascii="Segoe UI" w:hAnsi="Segoe UI"/>
                <w:color w:val="333333"/>
                <w:sz w:val="19"/>
              </w:rPr>
              <w:t>Pada File 3 dan 4, Total IDR dihitung ulang menggunakan rumus Qty * Valuation Rate (Incoming Rate) untuk memverifikasi kalkulasi di dalam sistem. Termasuk perbaikan pemetaan 3 item ("Data Tidak Ada" yang di-map ulang ke SM-R01-000048, SM-S01-000019B, dan SM-S01-000020).</w:t>
            </w:r>
          </w:p>
        </w:tc>
      </w:tr>
    </w:tbl>
    <w:p>
      <w:pPr>
        <w:spacing w:before="160"/>
      </w:pPr>
    </w:p>
    <w:p>
      <w:pPr>
        <w:keepNext/>
        <w:spacing w:before="280" w:after="160"/>
      </w:pPr>
      <w:r>
        <w:rPr>
          <w:rFonts w:ascii="Segoe UI" w:hAnsi="Segoe UI"/>
          <w:b/>
          <w:color w:val="1B365D"/>
          <w:sz w:val="28"/>
        </w:rPr>
        <w:t>Hasil Audit (Grand Totals)</w:t>
      </w:r>
    </w:p>
    <w:tbl>
      <w:tblPr>
        <w:tblW w:type="auto" w:w="0"/>
        <w:jc w:val="center"/>
        <w:tblLook w:firstColumn="1" w:firstRow="1" w:lastColumn="0" w:lastRow="0" w:noHBand="0" w:noVBand="1" w:val="04A0"/>
      </w:tblPr>
      <w:tblGrid>
        <w:gridCol w:w="2340"/>
        <w:gridCol w:w="2340"/>
        <w:gridCol w:w="2340"/>
        <w:gridCol w:w="2340"/>
      </w:tblGrid>
      <w:tr>
        <w:tc>
          <w:tcPr>
            <w:tcW w:type="dxa" w:w="2880"/>
            <w:tcMar>
              <w:top w:w="80" w:type="dxa"/>
              <w:bottom w:w="80" w:type="dxa"/>
              <w:left w:w="100" w:type="dxa"/>
              <w:right w:w="100" w:type="dxa"/>
            </w:tcMar>
            <w:shd w:fill="1B365D"/>
            <w:tcBorders>
              <w:top w:val="single" w:sz="4" w:space="0" w:color="E0E0E0"/>
              <w:bottom w:val="single" w:sz="4" w:space="0" w:color="E0E0E0"/>
              <w:left w:val="none"/>
              <w:right w:val="none"/>
            </w:tcBorders>
          </w:tcPr>
          <w:p>
            <w:pPr>
              <w:spacing w:after="0"/>
              <w:jc w:val="left"/>
            </w:pPr>
            <w:r>
              <w:rPr>
                <w:rFonts w:ascii="Segoe UI" w:hAnsi="Segoe UI"/>
                <w:b/>
                <w:color w:val="FFFFFF"/>
                <w:sz w:val="18"/>
              </w:rPr>
              <w:t>Tahapan File</w:t>
            </w:r>
          </w:p>
        </w:tc>
        <w:tc>
          <w:tcPr>
            <w:tcW w:type="dxa" w:w="1872"/>
            <w:tcMar>
              <w:top w:w="80" w:type="dxa"/>
              <w:bottom w:w="80" w:type="dxa"/>
              <w:left w:w="100" w:type="dxa"/>
              <w:right w:w="100" w:type="dxa"/>
            </w:tcMar>
            <w:shd w:fill="1B365D"/>
            <w:tcBorders>
              <w:top w:val="single" w:sz="4" w:space="0" w:color="E0E0E0"/>
              <w:bottom w:val="single" w:sz="4" w:space="0" w:color="E0E0E0"/>
              <w:left w:val="none"/>
              <w:right w:val="none"/>
            </w:tcBorders>
          </w:tcPr>
          <w:p>
            <w:pPr>
              <w:spacing w:after="0"/>
              <w:jc w:val="center"/>
            </w:pPr>
            <w:r>
              <w:rPr>
                <w:rFonts w:ascii="Segoe UI" w:hAnsi="Segoe UI"/>
                <w:b/>
                <w:color w:val="FFFFFF"/>
                <w:sz w:val="18"/>
              </w:rPr>
              <w:t>Total Quantity</w:t>
            </w:r>
          </w:p>
        </w:tc>
        <w:tc>
          <w:tcPr>
            <w:tcW w:type="dxa" w:w="2592"/>
            <w:tcMar>
              <w:top w:w="80" w:type="dxa"/>
              <w:bottom w:w="80" w:type="dxa"/>
              <w:left w:w="100" w:type="dxa"/>
              <w:right w:w="100" w:type="dxa"/>
            </w:tcMar>
            <w:shd w:fill="1B365D"/>
            <w:tcBorders>
              <w:top w:val="single" w:sz="4" w:space="0" w:color="E0E0E0"/>
              <w:bottom w:val="single" w:sz="4" w:space="0" w:color="E0E0E0"/>
              <w:left w:val="none"/>
              <w:right w:val="none"/>
            </w:tcBorders>
          </w:tcPr>
          <w:p>
            <w:pPr>
              <w:spacing w:after="0"/>
              <w:jc w:val="center"/>
            </w:pPr>
            <w:r>
              <w:rPr>
                <w:rFonts w:ascii="Segoe UI" w:hAnsi="Segoe UI"/>
                <w:b/>
                <w:color w:val="FFFFFF"/>
                <w:sz w:val="18"/>
              </w:rPr>
              <w:t>Total Accumulation (IDR)</w:t>
            </w:r>
          </w:p>
        </w:tc>
        <w:tc>
          <w:tcPr>
            <w:tcW w:type="dxa" w:w="2016"/>
            <w:tcMar>
              <w:top w:w="80" w:type="dxa"/>
              <w:bottom w:w="80" w:type="dxa"/>
              <w:left w:w="100" w:type="dxa"/>
              <w:right w:w="100" w:type="dxa"/>
            </w:tcMar>
            <w:shd w:fill="1B365D"/>
            <w:tcBorders>
              <w:top w:val="single" w:sz="4" w:space="0" w:color="E0E0E0"/>
              <w:bottom w:val="single" w:sz="4" w:space="0" w:color="E0E0E0"/>
              <w:left w:val="none"/>
              <w:right w:val="none"/>
            </w:tcBorders>
          </w:tcPr>
          <w:p>
            <w:pPr>
              <w:spacing w:after="0"/>
              <w:jc w:val="center"/>
            </w:pPr>
            <w:r>
              <w:rPr>
                <w:rFonts w:ascii="Segoe UI" w:hAnsi="Segoe UI"/>
                <w:b/>
                <w:color w:val="FFFFFF"/>
                <w:sz w:val="18"/>
              </w:rPr>
              <w:t>Total Accumulation (USD)</w:t>
            </w:r>
          </w:p>
        </w:tc>
      </w:tr>
      <w:tr>
        <w:tc>
          <w:tcPr>
            <w:tcW w:type="dxa" w:w="2880"/>
            <w:tcMar>
              <w:top w:w="80" w:type="dxa"/>
              <w:bottom w:w="80" w:type="dxa"/>
              <w:left w:w="100" w:type="dxa"/>
              <w:right w:w="100" w:type="dxa"/>
            </w:tcMar>
            <w:shd w:fill="FFFFFF"/>
            <w:tcBorders>
              <w:top w:val="single" w:sz="4" w:space="0" w:color="E0E0E0"/>
              <w:bottom w:val="single" w:sz="4" w:space="0" w:color="E0E0E0"/>
              <w:left w:val="none"/>
              <w:right w:val="none"/>
            </w:tcBorders>
          </w:tcPr>
          <w:p>
            <w:pPr>
              <w:spacing w:after="0"/>
              <w:jc w:val="left"/>
            </w:pPr>
            <w:r>
              <w:rPr>
                <w:rFonts w:ascii="Segoe UI" w:hAnsi="Segoe UI"/>
                <w:b/>
                <w:color w:val="333333"/>
                <w:sz w:val="18"/>
              </w:rPr>
              <w:t>1. Original Data</w:t>
            </w:r>
          </w:p>
        </w:tc>
        <w:tc>
          <w:tcPr>
            <w:tcW w:type="dxa" w:w="1872"/>
            <w:tcMar>
              <w:top w:w="80" w:type="dxa"/>
              <w:bottom w:w="80" w:type="dxa"/>
              <w:left w:w="100" w:type="dxa"/>
              <w:right w:w="10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8"/>
              </w:rPr>
              <w:t>29,570.4450</w:t>
            </w:r>
          </w:p>
        </w:tc>
        <w:tc>
          <w:tcPr>
            <w:tcW w:type="dxa" w:w="2592"/>
            <w:tcMar>
              <w:top w:w="80" w:type="dxa"/>
              <w:bottom w:w="80" w:type="dxa"/>
              <w:left w:w="100" w:type="dxa"/>
              <w:right w:w="10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8"/>
              </w:rPr>
              <w:t>Rp 151,832,874,856.81</w:t>
            </w:r>
          </w:p>
        </w:tc>
        <w:tc>
          <w:tcPr>
            <w:tcW w:type="dxa" w:w="2016"/>
            <w:tcMar>
              <w:top w:w="80" w:type="dxa"/>
              <w:bottom w:w="80" w:type="dxa"/>
              <w:left w:w="100" w:type="dxa"/>
              <w:right w:w="10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8"/>
              </w:rPr>
              <w:t>$9,185,122.80</w:t>
            </w:r>
          </w:p>
        </w:tc>
      </w:tr>
      <w:tr>
        <w:tc>
          <w:tcPr>
            <w:tcW w:type="dxa" w:w="2880"/>
            <w:tcMar>
              <w:top w:w="80" w:type="dxa"/>
              <w:bottom w:w="80" w:type="dxa"/>
              <w:left w:w="100" w:type="dxa"/>
              <w:right w:w="100" w:type="dxa"/>
            </w:tcMar>
            <w:shd w:fill="F7F9FA"/>
            <w:tcBorders>
              <w:top w:val="single" w:sz="4" w:space="0" w:color="E0E0E0"/>
              <w:bottom w:val="single" w:sz="4" w:space="0" w:color="E0E0E0"/>
              <w:left w:val="none"/>
              <w:right w:val="none"/>
            </w:tcBorders>
          </w:tcPr>
          <w:p>
            <w:pPr>
              <w:spacing w:after="0"/>
              <w:jc w:val="left"/>
            </w:pPr>
            <w:r>
              <w:rPr>
                <w:rFonts w:ascii="Segoe UI" w:hAnsi="Segoe UI"/>
                <w:b/>
                <w:color w:val="333333"/>
                <w:sz w:val="18"/>
              </w:rPr>
              <w:t>2. Processed Raw Data</w:t>
            </w:r>
          </w:p>
        </w:tc>
        <w:tc>
          <w:tcPr>
            <w:tcW w:type="dxa" w:w="1872"/>
            <w:tcMar>
              <w:top w:w="80" w:type="dxa"/>
              <w:bottom w:w="80" w:type="dxa"/>
              <w:left w:w="100" w:type="dxa"/>
              <w:right w:w="10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8"/>
              </w:rPr>
              <w:t>29,570.4450</w:t>
            </w:r>
          </w:p>
        </w:tc>
        <w:tc>
          <w:tcPr>
            <w:tcW w:type="dxa" w:w="2592"/>
            <w:tcMar>
              <w:top w:w="80" w:type="dxa"/>
              <w:bottom w:w="80" w:type="dxa"/>
              <w:left w:w="100" w:type="dxa"/>
              <w:right w:w="10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8"/>
              </w:rPr>
              <w:t>Rp 151,832,874,856.81</w:t>
            </w:r>
          </w:p>
        </w:tc>
        <w:tc>
          <w:tcPr>
            <w:tcW w:type="dxa" w:w="2016"/>
            <w:tcMar>
              <w:top w:w="80" w:type="dxa"/>
              <w:bottom w:w="80" w:type="dxa"/>
              <w:left w:w="100" w:type="dxa"/>
              <w:right w:w="10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8"/>
              </w:rPr>
              <w:t>$9,185,122.80</w:t>
            </w:r>
          </w:p>
        </w:tc>
      </w:tr>
      <w:tr>
        <w:tc>
          <w:tcPr>
            <w:tcW w:type="dxa" w:w="2880"/>
            <w:tcMar>
              <w:top w:w="80" w:type="dxa"/>
              <w:bottom w:w="80" w:type="dxa"/>
              <w:left w:w="100" w:type="dxa"/>
              <w:right w:w="100" w:type="dxa"/>
            </w:tcMar>
            <w:shd w:fill="FFFFFF"/>
            <w:tcBorders>
              <w:top w:val="single" w:sz="4" w:space="0" w:color="E0E0E0"/>
              <w:bottom w:val="single" w:sz="4" w:space="0" w:color="E0E0E0"/>
              <w:left w:val="none"/>
              <w:right w:val="none"/>
            </w:tcBorders>
          </w:tcPr>
          <w:p>
            <w:pPr>
              <w:spacing w:after="0"/>
              <w:jc w:val="left"/>
            </w:pPr>
            <w:r>
              <w:rPr>
                <w:rFonts w:ascii="Segoe UI" w:hAnsi="Segoe UI"/>
                <w:b/>
                <w:color w:val="333333"/>
                <w:sz w:val="18"/>
              </w:rPr>
              <w:t>3. Import Data (ERPNext)</w:t>
            </w:r>
          </w:p>
        </w:tc>
        <w:tc>
          <w:tcPr>
            <w:tcW w:type="dxa" w:w="1872"/>
            <w:tcMar>
              <w:top w:w="80" w:type="dxa"/>
              <w:bottom w:w="80" w:type="dxa"/>
              <w:left w:w="100" w:type="dxa"/>
              <w:right w:w="10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8"/>
              </w:rPr>
              <w:t>29,570.4450</w:t>
            </w:r>
          </w:p>
        </w:tc>
        <w:tc>
          <w:tcPr>
            <w:tcW w:type="dxa" w:w="2592"/>
            <w:tcMar>
              <w:top w:w="80" w:type="dxa"/>
              <w:bottom w:w="80" w:type="dxa"/>
              <w:left w:w="100" w:type="dxa"/>
              <w:right w:w="10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8"/>
              </w:rPr>
              <w:t>Rp 151,832,874,857.64</w:t>
            </w:r>
          </w:p>
        </w:tc>
        <w:tc>
          <w:tcPr>
            <w:tcW w:type="dxa" w:w="2016"/>
            <w:tcMar>
              <w:top w:w="80" w:type="dxa"/>
              <w:bottom w:w="80" w:type="dxa"/>
              <w:left w:w="100" w:type="dxa"/>
              <w:right w:w="10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8"/>
              </w:rPr>
              <w:t>$9,185,122.80</w:t>
            </w:r>
          </w:p>
        </w:tc>
      </w:tr>
      <w:tr>
        <w:tc>
          <w:tcPr>
            <w:tcW w:type="dxa" w:w="2880"/>
            <w:tcMar>
              <w:top w:w="80" w:type="dxa"/>
              <w:bottom w:w="80" w:type="dxa"/>
              <w:left w:w="100" w:type="dxa"/>
              <w:right w:w="100" w:type="dxa"/>
            </w:tcMar>
            <w:shd w:fill="F7F9FA"/>
            <w:tcBorders>
              <w:top w:val="single" w:sz="4" w:space="0" w:color="E0E0E0"/>
              <w:bottom w:val="single" w:sz="4" w:space="0" w:color="E0E0E0"/>
              <w:left w:val="none"/>
              <w:right w:val="none"/>
            </w:tcBorders>
          </w:tcPr>
          <w:p>
            <w:pPr>
              <w:spacing w:after="0"/>
              <w:jc w:val="left"/>
            </w:pPr>
            <w:r>
              <w:rPr>
                <w:rFonts w:ascii="Segoe UI" w:hAnsi="Segoe UI"/>
                <w:b/>
                <w:color w:val="333333"/>
                <w:sz w:val="18"/>
              </w:rPr>
              <w:t>4. Final Output (ERPNext)</w:t>
            </w:r>
          </w:p>
        </w:tc>
        <w:tc>
          <w:tcPr>
            <w:tcW w:type="dxa" w:w="1872"/>
            <w:tcMar>
              <w:top w:w="80" w:type="dxa"/>
              <w:bottom w:w="80" w:type="dxa"/>
              <w:left w:w="100" w:type="dxa"/>
              <w:right w:w="10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8"/>
              </w:rPr>
              <w:t>29,570.4450</w:t>
            </w:r>
          </w:p>
        </w:tc>
        <w:tc>
          <w:tcPr>
            <w:tcW w:type="dxa" w:w="2592"/>
            <w:tcMar>
              <w:top w:w="80" w:type="dxa"/>
              <w:bottom w:w="80" w:type="dxa"/>
              <w:left w:w="100" w:type="dxa"/>
              <w:right w:w="10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8"/>
              </w:rPr>
              <w:t>Rp 151,832,874,857.64</w:t>
            </w:r>
          </w:p>
        </w:tc>
        <w:tc>
          <w:tcPr>
            <w:tcW w:type="dxa" w:w="2016"/>
            <w:tcMar>
              <w:top w:w="80" w:type="dxa"/>
              <w:bottom w:w="80" w:type="dxa"/>
              <w:left w:w="100" w:type="dxa"/>
              <w:right w:w="10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8"/>
              </w:rPr>
              <w:t>$9,185,122.80</w:t>
            </w:r>
          </w:p>
        </w:tc>
      </w:tr>
    </w:tbl>
    <w:p>
      <w:pPr>
        <w:keepNext/>
        <w:spacing w:before="360" w:after="160"/>
      </w:pPr>
      <w:r>
        <w:rPr>
          <w:rFonts w:ascii="Segoe UI" w:hAnsi="Segoe UI"/>
          <w:b/>
          <w:color w:val="1B365D"/>
          <w:sz w:val="28"/>
        </w:rPr>
        <w:t>Analisis &amp; Temuan</w:t>
      </w:r>
    </w:p>
    <w:tbl>
      <w:tblPr>
        <w:tblW w:type="auto" w:w="0"/>
        <w:jc w:val="center"/>
        <w:tblLook w:firstColumn="1" w:firstRow="1" w:lastColumn="0" w:lastRow="0" w:noHBand="0" w:noVBand="1" w:val="04A0"/>
      </w:tblPr>
      <w:tblGrid>
        <w:gridCol w:w="9360"/>
      </w:tblGrid>
      <w:tr>
        <w:tc>
          <w:tcPr>
            <w:tcW w:type="dxa" w:w="9360"/>
            <w:shd w:fill="E8F5E9"/>
            <w:tcMar>
              <w:top w:w="100" w:type="dxa"/>
              <w:bottom w:w="100" w:type="dxa"/>
              <w:left w:w="180" w:type="dxa"/>
              <w:right w:w="180" w:type="dxa"/>
            </w:tcMar>
            <w:tcBorders>
              <w:left w:val="single" w:sz="24" w:space="0" w:color="2E7D32"/>
              <w:top w:val="none"/>
              <w:right w:val="none"/>
              <w:bottom w:val="none"/>
            </w:tcBorders>
          </w:tcPr>
          <w:p>
            <w:pPr>
              <w:spacing w:after="0" w:line="276" w:lineRule="auto"/>
            </w:pPr>
            <w:r>
              <w:rPr>
                <w:rFonts w:ascii="Segoe UI" w:hAnsi="Segoe UI"/>
                <w:b/>
                <w:color w:val="2E7D32"/>
                <w:sz w:val="20"/>
              </w:rPr>
              <w:t>Data Integrity: 100% Valid</w:t>
              <w:br/>
            </w:r>
            <w:r>
              <w:rPr>
                <w:rFonts w:ascii="Segoe UI" w:hAnsi="Segoe UI"/>
                <w:color w:val="333333"/>
                <w:sz w:val="19"/>
              </w:rPr>
              <w:t>Semua nilai terkonfirmasi masuk dan terbaca oleh sistem tanpa ada data yang hilang atau terselip.</w:t>
            </w:r>
          </w:p>
        </w:tc>
      </w:tr>
    </w:tbl>
    <w:p>
      <w:pPr>
        <w:spacing w:before="120"/>
      </w:pPr>
    </w:p>
    <w:p>
      <w:pPr>
        <w:spacing w:after="80"/>
        <w:ind w:left="360"/>
      </w:pPr>
      <w:r>
        <w:rPr>
          <w:rFonts w:ascii="Segoe UI" w:hAnsi="Segoe UI"/>
          <w:b/>
          <w:color w:val="333333"/>
          <w:sz w:val="20"/>
        </w:rPr>
        <w:t xml:space="preserve">1. Kuantitas (Qty): </w:t>
      </w:r>
      <w:r>
        <w:rPr>
          <w:rFonts w:ascii="Segoe UI" w:hAnsi="Segoe UI"/>
          <w:color w:val="333333"/>
          <w:sz w:val="20"/>
        </w:rPr>
        <w:t xml:space="preserve">Tidak ada perubahan sama sekali dari data awal hingga data akhir. Total kuantitas barang yang diinput adalah tepat </w:t>
      </w:r>
      <w:r>
        <w:rPr>
          <w:rFonts w:ascii="Segoe UI" w:hAnsi="Segoe UI"/>
          <w:b/>
          <w:sz w:val="20"/>
        </w:rPr>
        <w:t>29.570,445</w:t>
      </w:r>
    </w:p>
    <w:p>
      <w:pPr>
        <w:spacing w:after="80"/>
        <w:ind w:left="360"/>
      </w:pPr>
      <w:r>
        <w:rPr>
          <w:rFonts w:ascii="Segoe UI" w:hAnsi="Segoe UI"/>
          <w:b/>
          <w:color w:val="333333"/>
          <w:sz w:val="20"/>
        </w:rPr>
        <w:t xml:space="preserve">2. Total USD: </w:t>
      </w:r>
      <w:r>
        <w:rPr>
          <w:rFonts w:ascii="Segoe UI" w:hAnsi="Segoe UI"/>
          <w:color w:val="333333"/>
          <w:sz w:val="20"/>
        </w:rPr>
        <w:t xml:space="preserve">Nilai USD konsisten dan akurat pada keempat file sebesar </w:t>
      </w:r>
      <w:r>
        <w:rPr>
          <w:rFonts w:ascii="Segoe UI" w:hAnsi="Segoe UI"/>
          <w:b/>
          <w:sz w:val="20"/>
        </w:rPr>
        <w:t>$9.185.122,80</w:t>
      </w:r>
      <w:r>
        <w:rPr>
          <w:rFonts w:ascii="Segoe UI" w:hAnsi="Segoe UI"/>
          <w:color w:val="333333"/>
          <w:sz w:val="20"/>
        </w:rPr>
        <w:t xml:space="preserve"> tanpa ada deviasi pembulatan.</w:t>
      </w:r>
    </w:p>
    <w:p>
      <w:pPr>
        <w:spacing w:after="80"/>
        <w:ind w:left="360"/>
      </w:pPr>
      <w:r>
        <w:rPr>
          <w:rFonts w:ascii="Segoe UI" w:hAnsi="Segoe UI"/>
          <w:b/>
          <w:color w:val="333333"/>
          <w:sz w:val="20"/>
        </w:rPr>
        <w:t>3. Total IDR &amp; Item Rate:</w:t>
      </w:r>
    </w:p>
    <w:p>
      <w:pPr>
        <w:spacing w:after="60"/>
        <w:ind w:left="720"/>
      </w:pPr>
      <w:r>
        <w:rPr>
          <w:rFonts w:ascii="Segoe UI" w:hAnsi="Segoe UI"/>
          <w:color w:val="333333"/>
          <w:sz w:val="19"/>
        </w:rPr>
        <w:t>- Nilai IDR awal adalah Rp 151.832.874.856,81.</w:t>
      </w:r>
    </w:p>
    <w:p>
      <w:pPr>
        <w:spacing w:after="60"/>
        <w:ind w:left="720"/>
      </w:pPr>
      <w:r>
        <w:rPr>
          <w:rFonts w:ascii="Segoe UI" w:hAnsi="Segoe UI"/>
          <w:color w:val="333333"/>
          <w:sz w:val="19"/>
        </w:rPr>
        <w:t>- Nilai IDR akhir di laporan adalah Rp 151.832.874.857,64.</w:t>
      </w:r>
    </w:p>
    <w:p>
      <w:pPr>
        <w:spacing w:after="60"/>
        <w:ind w:left="720"/>
      </w:pPr>
      <w:r>
        <w:rPr>
          <w:rFonts w:ascii="Segoe UI" w:hAnsi="Segoe UI"/>
          <w:color w:val="333333"/>
          <w:sz w:val="19"/>
        </w:rPr>
        <w:t>- Deviasi (selisih) yang terjadi hanya sebesar Rp 0,83 (kurang dari 1 Rupiah) untuk total transaksi lebih dari 151 Miliar Rupiah. Selisih ini murni karena toleransi pembulatan (floating point roundoff).</w:t>
      </w:r>
    </w:p>
    <w:p>
      <w:pPr>
        <w:keepNext/>
        <w:spacing w:before="360" w:after="160"/>
      </w:pPr>
      <w:r>
        <w:rPr>
          <w:rFonts w:ascii="Segoe UI" w:hAnsi="Segoe UI"/>
          <w:b/>
          <w:color w:val="1B365D"/>
          <w:sz w:val="28"/>
        </w:rPr>
        <w:t>Rincian Item dengan Selisih Pembulatan (Roundoff Differences)</w:t>
      </w:r>
    </w:p>
    <w:p>
      <w:pPr>
        <w:spacing w:after="160"/>
      </w:pPr>
      <w:r>
        <w:rPr>
          <w:rFonts w:ascii="Segoe UI" w:hAnsi="Segoe UI"/>
          <w:color w:val="333333"/>
          <w:sz w:val="20"/>
        </w:rPr>
        <w:t>Berikut adalah daftar lengkap 26 item yang mengalami selisih pembulatan desimal. (Item "Data Tidak Ada" sudah tidak ada karena dikalkulasi dan dipetakan sempurna ke kode baru yang valid).</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60" w:type="dxa"/>
              <w:bottom w:w="60" w:type="dxa"/>
              <w:left w:w="80" w:type="dxa"/>
              <w:right w:w="80" w:type="dxa"/>
            </w:tcMar>
            <w:shd w:fill="1B365D"/>
            <w:tcBorders>
              <w:top w:val="single" w:sz="4" w:space="0" w:color="E0E0E0"/>
              <w:bottom w:val="single" w:sz="4" w:space="0" w:color="E0E0E0"/>
              <w:left w:val="none"/>
              <w:right w:val="none"/>
            </w:tcBorders>
          </w:tcPr>
          <w:p>
            <w:pPr>
              <w:spacing w:after="0"/>
              <w:jc w:val="left"/>
            </w:pPr>
            <w:r>
              <w:rPr>
                <w:rFonts w:ascii="Segoe UI" w:hAnsi="Segoe UI"/>
                <w:b/>
                <w:color w:val="FFFFFF"/>
                <w:sz w:val="17"/>
              </w:rPr>
              <w:t>Item Code</w:t>
            </w:r>
          </w:p>
        </w:tc>
        <w:tc>
          <w:tcPr>
            <w:tcW w:type="dxa" w:w="2448"/>
            <w:tcMar>
              <w:top w:w="60" w:type="dxa"/>
              <w:bottom w:w="60" w:type="dxa"/>
              <w:left w:w="80" w:type="dxa"/>
              <w:right w:w="80" w:type="dxa"/>
            </w:tcMar>
            <w:shd w:fill="1B365D"/>
            <w:tcBorders>
              <w:top w:val="single" w:sz="4" w:space="0" w:color="E0E0E0"/>
              <w:bottom w:val="single" w:sz="4" w:space="0" w:color="E0E0E0"/>
              <w:left w:val="none"/>
              <w:right w:val="none"/>
            </w:tcBorders>
          </w:tcPr>
          <w:p>
            <w:pPr>
              <w:spacing w:after="0"/>
              <w:jc w:val="center"/>
            </w:pPr>
            <w:r>
              <w:rPr>
                <w:rFonts w:ascii="Segoe UI" w:hAnsi="Segoe UI"/>
                <w:b/>
                <w:color w:val="FFFFFF"/>
                <w:sz w:val="17"/>
              </w:rPr>
              <w:t>IDR (File 2)</w:t>
            </w:r>
          </w:p>
        </w:tc>
        <w:tc>
          <w:tcPr>
            <w:tcW w:type="dxa" w:w="2448"/>
            <w:tcMar>
              <w:top w:w="60" w:type="dxa"/>
              <w:bottom w:w="60" w:type="dxa"/>
              <w:left w:w="80" w:type="dxa"/>
              <w:right w:w="80" w:type="dxa"/>
            </w:tcMar>
            <w:shd w:fill="1B365D"/>
            <w:tcBorders>
              <w:top w:val="single" w:sz="4" w:space="0" w:color="E0E0E0"/>
              <w:bottom w:val="single" w:sz="4" w:space="0" w:color="E0E0E0"/>
              <w:left w:val="none"/>
              <w:right w:val="none"/>
            </w:tcBorders>
          </w:tcPr>
          <w:p>
            <w:pPr>
              <w:spacing w:after="0"/>
              <w:jc w:val="center"/>
            </w:pPr>
            <w:r>
              <w:rPr>
                <w:rFonts w:ascii="Segoe UI" w:hAnsi="Segoe UI"/>
                <w:b/>
                <w:color w:val="FFFFFF"/>
                <w:sz w:val="17"/>
              </w:rPr>
              <w:t>IDR (File 3)</w:t>
            </w:r>
          </w:p>
        </w:tc>
        <w:tc>
          <w:tcPr>
            <w:tcW w:type="dxa" w:w="1872"/>
            <w:tcMar>
              <w:top w:w="60" w:type="dxa"/>
              <w:bottom w:w="60" w:type="dxa"/>
              <w:left w:w="80" w:type="dxa"/>
              <w:right w:w="80" w:type="dxa"/>
            </w:tcMar>
            <w:shd w:fill="1B365D"/>
            <w:tcBorders>
              <w:top w:val="single" w:sz="4" w:space="0" w:color="E0E0E0"/>
              <w:bottom w:val="single" w:sz="4" w:space="0" w:color="E0E0E0"/>
              <w:left w:val="none"/>
              <w:right w:val="none"/>
            </w:tcBorders>
          </w:tcPr>
          <w:p>
            <w:pPr>
              <w:spacing w:after="0"/>
              <w:jc w:val="center"/>
            </w:pPr>
            <w:r>
              <w:rPr>
                <w:rFonts w:ascii="Segoe UI" w:hAnsi="Segoe UI"/>
                <w:b/>
                <w:color w:val="FFFFFF"/>
                <w:sz w:val="17"/>
              </w:rPr>
              <w:t>Selisih (Rupiah)</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SM-S01-000002</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52,376,772,146.16</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52,376,772,147.04</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2E7D32"/>
                <w:sz w:val="17"/>
              </w:rPr>
              <w:t>+0.8800</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SM-H01-000004</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7,201,297,645.31</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7,201,297,645.22</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C62828"/>
                <w:sz w:val="17"/>
              </w:rPr>
              <w:t>-0.0900</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SM-A01-000003B</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406,318,887.02</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406,318,887.10</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2E7D32"/>
                <w:sz w:val="17"/>
              </w:rPr>
              <w:t>+0.0820</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SM-S01-000005B</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519,187,697.54</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519,187,697.49</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C62828"/>
                <w:sz w:val="17"/>
              </w:rPr>
              <w:t>-0.0530</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SM-S01-000008B</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209,178,612.51</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209,178,612.47</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C62828"/>
                <w:sz w:val="17"/>
              </w:rPr>
              <w:t>-0.0364</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SM-S01-000017</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606,300,968.88</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606,300,968.91</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2E7D32"/>
                <w:sz w:val="17"/>
              </w:rPr>
              <w:t>+0.0300</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SM-S01-000007B</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41,048,891.15</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41,048,891.16</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2E7D32"/>
                <w:sz w:val="17"/>
              </w:rPr>
              <w:t>+0.0076</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SM-S01-000003B</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26,309,596.05</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26,309,596.06</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2E7D32"/>
                <w:sz w:val="17"/>
              </w:rPr>
              <w:t>+0.0075</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SM-A01-000002B</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70,763,172.15</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70,763,172.16</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2E7D32"/>
                <w:sz w:val="17"/>
              </w:rPr>
              <w:t>+0.0073</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SM-A01-000004B</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59,223,471.30</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59,223,471.31</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2E7D32"/>
                <w:sz w:val="17"/>
              </w:rPr>
              <w:t>+0.0060</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SM-A01-000009</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1,584,872,239.08</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1,584,872,239.07</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C62828"/>
                <w:sz w:val="17"/>
              </w:rPr>
              <w:t>-0.0052</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SM-A01-000002</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1,840,994,679.38</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1,840,994,679.38</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C62828"/>
                <w:sz w:val="17"/>
              </w:rPr>
              <w:t>-0.0050</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SM-B01-000027</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65,999,252.44</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65,999,252.44</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C62828"/>
                <w:sz w:val="17"/>
              </w:rPr>
              <w:t>-0.0043</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SM-A01-000012B</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90,929,370.83</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90,929,370.83</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2E7D32"/>
                <w:sz w:val="17"/>
              </w:rPr>
              <w:t>+0.0040</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SM-A01-000011</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5,235,194,113.22</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5,235,194,113.22</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2E7D32"/>
                <w:sz w:val="17"/>
              </w:rPr>
              <w:t>+0.0040</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SM-S01-000013</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16,836,213,922.48</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16,836,213,922.48</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C62828"/>
                <w:sz w:val="17"/>
              </w:rPr>
              <w:t>-0.0040</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SM-S01-000014B</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749,067,457.61</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749,067,457.61</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C62828"/>
                <w:sz w:val="17"/>
              </w:rPr>
              <w:t>-0.0032</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SM-A01-000003</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3,343,601,781.57</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3,343,601,781.57</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2E7D32"/>
                <w:sz w:val="17"/>
              </w:rPr>
              <w:t>+0.0030</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SM-S01-000013B</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1,051,652,365.30</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1,051,652,365.30</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C62828"/>
                <w:sz w:val="17"/>
              </w:rPr>
              <w:t>-0.0016</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SM-A01-000012</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5,014,953,682.06</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5,014,953,682.06</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2E7D32"/>
                <w:sz w:val="17"/>
              </w:rPr>
              <w:t>+0.0016</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SM-R01-000032</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55,424,595.26</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55,424,595.26</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2E7D32"/>
                <w:sz w:val="17"/>
              </w:rPr>
              <w:t>+0.0012</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SM-H01-000004B</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83,037,985.66</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83,037,985.66</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C62828"/>
                <w:sz w:val="17"/>
              </w:rPr>
              <w:t>-0.0012</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SM-A01-000010B</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29,448,106.19</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29,448,106.19</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2E7D32"/>
                <w:sz w:val="17"/>
              </w:rPr>
              <w:t>+0.0011</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SM-S01-000015B</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9,490,957.34</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9,490,957.34</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C62828"/>
                <w:sz w:val="17"/>
              </w:rPr>
              <w:t>-0.0005</w:t>
            </w:r>
          </w:p>
        </w:tc>
      </w:tr>
      <w:tr>
        <w:tc>
          <w:tcPr>
            <w:tcW w:type="dxa" w:w="259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left"/>
            </w:pPr>
            <w:r>
              <w:rPr>
                <w:rFonts w:ascii="Consolas" w:hAnsi="Consolas"/>
                <w:color w:val="333333"/>
                <w:sz w:val="17"/>
              </w:rPr>
              <w:t>SM-B01-000027B</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10,560,780.61</w:t>
            </w:r>
          </w:p>
        </w:tc>
        <w:tc>
          <w:tcPr>
            <w:tcW w:type="dxa" w:w="2448"/>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color w:val="333333"/>
                <w:sz w:val="17"/>
              </w:rPr>
              <w:t>Rp 10,560,780.61</w:t>
            </w:r>
          </w:p>
        </w:tc>
        <w:tc>
          <w:tcPr>
            <w:tcW w:type="dxa" w:w="1872"/>
            <w:tcMar>
              <w:top w:w="60" w:type="dxa"/>
              <w:bottom w:w="60" w:type="dxa"/>
              <w:left w:w="80" w:type="dxa"/>
              <w:right w:w="80" w:type="dxa"/>
            </w:tcMar>
            <w:shd w:fill="FFFFFF"/>
            <w:tcBorders>
              <w:top w:val="single" w:sz="4" w:space="0" w:color="E0E0E0"/>
              <w:bottom w:val="single" w:sz="4" w:space="0" w:color="E0E0E0"/>
              <w:left w:val="none"/>
              <w:right w:val="none"/>
            </w:tcBorders>
          </w:tcPr>
          <w:p>
            <w:pPr>
              <w:spacing w:after="0"/>
              <w:jc w:val="right"/>
            </w:pPr>
            <w:r>
              <w:rPr>
                <w:rFonts w:ascii="Segoe UI" w:hAnsi="Segoe UI"/>
                <w:b/>
                <w:color w:val="2E7D32"/>
                <w:sz w:val="17"/>
              </w:rPr>
              <w:t>+0.0002</w:t>
            </w:r>
          </w:p>
        </w:tc>
      </w:tr>
      <w:tr>
        <w:tc>
          <w:tcPr>
            <w:tcW w:type="dxa" w:w="259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left"/>
            </w:pPr>
            <w:r>
              <w:rPr>
                <w:rFonts w:ascii="Consolas" w:hAnsi="Consolas"/>
                <w:color w:val="333333"/>
                <w:sz w:val="17"/>
              </w:rPr>
              <w:t>SM-B01-000031B</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3,898,632.03</w:t>
            </w:r>
          </w:p>
        </w:tc>
        <w:tc>
          <w:tcPr>
            <w:tcW w:type="dxa" w:w="2448"/>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color w:val="333333"/>
                <w:sz w:val="17"/>
              </w:rPr>
              <w:t>Rp 3,898,632.03</w:t>
            </w:r>
          </w:p>
        </w:tc>
        <w:tc>
          <w:tcPr>
            <w:tcW w:type="dxa" w:w="1872"/>
            <w:tcMar>
              <w:top w:w="60" w:type="dxa"/>
              <w:bottom w:w="60" w:type="dxa"/>
              <w:left w:w="80" w:type="dxa"/>
              <w:right w:w="80" w:type="dxa"/>
            </w:tcMar>
            <w:shd w:fill="F7F9FA"/>
            <w:tcBorders>
              <w:top w:val="single" w:sz="4" w:space="0" w:color="E0E0E0"/>
              <w:bottom w:val="single" w:sz="4" w:space="0" w:color="E0E0E0"/>
              <w:left w:val="none"/>
              <w:right w:val="none"/>
            </w:tcBorders>
          </w:tcPr>
          <w:p>
            <w:pPr>
              <w:spacing w:after="0"/>
              <w:jc w:val="right"/>
            </w:pPr>
            <w:r>
              <w:rPr>
                <w:rFonts w:ascii="Segoe UI" w:hAnsi="Segoe UI"/>
                <w:b/>
                <w:color w:val="2E7D32"/>
                <w:sz w:val="17"/>
              </w:rPr>
              <w:t>+0.0001</w:t>
            </w:r>
          </w:p>
        </w:tc>
      </w:tr>
    </w:tbl>
    <w:p>
      <w:pPr>
        <w:spacing w:before="160" w:after="320"/>
        <w:jc w:val="right"/>
      </w:pPr>
      <w:r>
        <w:rPr>
          <w:rFonts w:ascii="Segoe UI" w:hAnsi="Segoe UI"/>
          <w:b/>
          <w:color w:val="333333"/>
          <w:sz w:val="20"/>
        </w:rPr>
        <w:t xml:space="preserve">Total Akumulasi Selisih: </w:t>
      </w:r>
      <w:r>
        <w:rPr>
          <w:rFonts w:ascii="Segoe UI" w:hAnsi="Segoe UI"/>
          <w:b/>
          <w:color w:val="1B365D"/>
          <w:sz w:val="21"/>
        </w:rPr>
        <w:t>+0.8313 Rupiah</w:t>
      </w:r>
    </w:p>
    <w:p>
      <w:pPr>
        <w:keepNext/>
        <w:spacing w:before="240" w:after="160"/>
      </w:pPr>
      <w:r>
        <w:rPr>
          <w:rFonts w:ascii="Segoe UI" w:hAnsi="Segoe UI"/>
          <w:b/>
          <w:color w:val="1B365D"/>
          <w:sz w:val="28"/>
        </w:rPr>
        <w:t>Kesimpulan</w:t>
      </w:r>
    </w:p>
    <w:p>
      <w:pPr>
        <w:spacing w:after="240" w:line="276" w:lineRule="auto"/>
      </w:pPr>
      <w:r>
        <w:rPr>
          <w:rFonts w:ascii="Segoe UI" w:hAnsi="Segoe UI"/>
          <w:color w:val="333333"/>
          <w:sz w:val="21"/>
        </w:rPr>
        <w:t>Keseluruhan alur rekonsiliasi data stok telah berjalan sangat akurat dan presisi. File custom report mampu menyerap dan menampilkan informasi secara identik dengan data mentah yang telah dirapikan. Selisih yang ada hanyalah toleransi pembulatan pecahan Rupiah (&lt; Rp 1) dari kalkulasi sistem, yang menandakan bahwa proses import Stock Reconciliation sukses 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