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646464"/>
          <w:sz w:val="17"/>
        </w:rPr>
        <w:t>APPLIED SYSTEMS FRAMEWORK // WORKING DRAFT FOR CAPACITY MODELING</w:t>
      </w:r>
    </w:p>
    <w:p>
      <w:pPr>
        <w:spacing w:after="160"/>
      </w:pPr>
      <w:r>
        <w:rPr>
          <w:rFonts w:ascii="Calibri" w:hAnsi="Calibri"/>
          <w:i/>
          <w:color w:val="A03232"/>
          <w:sz w:val="16"/>
        </w:rPr>
        <w:t>DISCLAIMER: Non-authoritative working draft. Prepared as an applied research architecture. Not a submitted government policy or statutory instrument.</w:t>
      </w:r>
    </w:p>
    <w:p>
      <w:pPr>
        <w:spacing w:after="60"/>
      </w:pPr>
      <w:r>
        <w:rPr>
          <w:rFonts w:ascii="Calibri" w:hAnsi="Calibri"/>
          <w:b/>
          <w:color w:val="102C57"/>
          <w:sz w:val="32"/>
        </w:rPr>
        <w:t>FUSION-01: National Climate-Adaptive Social Safety Net &amp; Anticipatory Protection Architecture</w:t>
      </w:r>
    </w:p>
    <w:p>
      <w:pPr>
        <w:spacing w:after="120"/>
      </w:pPr>
      <w:r>
        <w:rPr>
          <w:rFonts w:ascii="Calibri" w:hAnsi="Calibri"/>
          <w:i/>
          <w:color w:val="323232"/>
          <w:sz w:val="21"/>
        </w:rPr>
        <w:t>Integrated Framework for Pre-Emptive Liquidity, Water Security &amp; SGBV Safeguarding Across Displaced Populations</w:t>
      </w:r>
    </w:p>
    <w:p>
      <w:pPr>
        <w:spacing w:after="240"/>
      </w:pPr>
      <w:r>
        <w:rPr>
          <w:rFonts w:ascii="Calibri" w:hAnsi="Calibri"/>
          <w:b/>
          <w:color w:val="102C57"/>
          <w:sz w:val="18"/>
        </w:rPr>
        <w:t>Target Counterparts: UNICEF / WFP / World Bank Social Protection Global Practice / BISP Liaison  •  Normative Frameworks: SDG 1 (No Poverty), SDG 5 (Gender Equality), SDG 6 (Clean Water), SDG 13 (Climate Action)</w:t>
      </w:r>
    </w:p>
    <w:p>
      <w:r>
        <w:rPr>
          <w:rFonts w:ascii="Calibri" w:hAnsi="Calibri"/>
          <w:b/>
          <w:color w:val="102C57"/>
          <w:sz w:val="24"/>
        </w:rPr>
        <w:t>1. EXECUTIVE SUMMARY &amp; POLICY CONTEXT</w:t>
      </w:r>
    </w:p>
    <w:p>
      <w:pPr>
        <w:spacing w:after="200" w:line="276" w:lineRule="auto"/>
      </w:pPr>
      <w:r>
        <w:rPr>
          <w:rFonts w:ascii="Calibri" w:hAnsi="Calibri"/>
          <w:color w:val="323232"/>
          <w:sz w:val="19"/>
        </w:rPr>
        <w:t>This master operational framework establishes an automated anticipatory social safety net for climate-vulnerable communities. Rather than relying on traditional ex-post disaster relief—which typically arrives 21 to 45 days after catastrophic flooding—this architecture connects satellite telemetry (Sentinel/MODIS NDVI/NDWI) and PMD rainfall forecasting to the National Socio-Economic Registry (NSER). When flood crests cross the 95th percentile threshold, the system automatically disburses unconditional emergency liquidity grants ($45 per household via branchless banking) and pre-positions water purification supplies and female-safe protection corridors 72 hours prior to inundation.</w:t>
      </w:r>
    </w:p>
    <w:p>
      <w:r>
        <w:drawing>
          <wp:inline xmlns:a="http://schemas.openxmlformats.org/drawingml/2006/main" xmlns:pic="http://schemas.openxmlformats.org/drawingml/2006/picture">
            <wp:extent cx="6217920" cy="3108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ticipatory_action_protection_curv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108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rFonts w:ascii="Calibri" w:hAnsi="Calibri"/>
          <w:i/>
          <w:color w:val="646464"/>
          <w:sz w:val="17"/>
        </w:rPr>
        <w:t>Figure 1: Quantitative Telemetry &amp; Systems Indicator Model (FUSION-01: National Climate-Adaptiv...)</w:t>
      </w:r>
    </w:p>
    <w:p>
      <w:r>
        <w:rPr>
          <w:rFonts w:ascii="Calibri" w:hAnsi="Calibri"/>
          <w:b/>
          <w:color w:val="102C57"/>
          <w:sz w:val="24"/>
        </w:rPr>
        <w:t>2. OPERATIONAL DIMENSIONS (5W + 1H FRAMEWORK)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160"/>
          </w:tcPr>
          <w:p>
            <w:r>
              <w:rPr>
                <w:b/>
              </w:rPr>
              <w:t>Dimension</w:t>
            </w:r>
          </w:p>
        </w:tc>
        <w:tc>
          <w:tcPr>
            <w:tcW w:type="dxa" w:w="7632"/>
          </w:tcPr>
          <w:p>
            <w:r>
              <w:rPr>
                <w:b/>
              </w:rPr>
              <w:t>Operational Specification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WHAT</w:t>
            </w:r>
          </w:p>
        </w:tc>
        <w:tc>
          <w:tcPr>
            <w:tcW w:type="dxa" w:w="5040"/>
          </w:tcPr>
          <w:p>
            <w:r>
              <w:t>Automated anticipatory cash transfer and multi-sectoral protection trigger engine.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WHY</w:t>
            </w:r>
          </w:p>
        </w:tc>
        <w:tc>
          <w:tcPr>
            <w:tcW w:type="dxa" w:w="5040"/>
          </w:tcPr>
          <w:p>
            <w:r>
              <w:t>Prevents negative coping mechanisms (distress livestock sales, child labor, and transactional survival sex) before displacement occurs.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WHO</w:t>
            </w:r>
          </w:p>
        </w:tc>
        <w:tc>
          <w:tcPr>
            <w:tcW w:type="dxa" w:w="5040"/>
          </w:tcPr>
          <w:p>
            <w:r>
              <w:t>Ultra-poor households, female-headed families, and pregnant/lactating women in high-risk flood polygons.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WHERE</w:t>
            </w:r>
          </w:p>
        </w:tc>
        <w:tc>
          <w:tcPr>
            <w:tcW w:type="dxa" w:w="5040"/>
          </w:tcPr>
          <w:p>
            <w:r>
              <w:t>Southern Punjab, Lower Sindh (Thatta/Badin/Dadu), and Eastern Balochistan (Jafarabad/Nasirabad).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WHEN</w:t>
            </w:r>
          </w:p>
        </w:tc>
        <w:tc>
          <w:tcPr>
            <w:tcW w:type="dxa" w:w="5040"/>
          </w:tcPr>
          <w:p>
            <w:r>
              <w:t>Immediate multi-year rollout (2026–2030), aligned with pre-monsoon and monsoon climatic cycles.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HOW</w:t>
            </w:r>
          </w:p>
        </w:tc>
        <w:tc>
          <w:tcPr>
            <w:tcW w:type="dxa" w:w="5040"/>
          </w:tcPr>
          <w:p>
            <w:r>
              <w:t>Satellite remote sensing combined with branchless RAAST/BISP biometric payout rails and dual-signoff financial controls.</w:t>
            </w:r>
          </w:p>
        </w:tc>
      </w:tr>
    </w:tbl>
    <w:p>
      <w:pPr>
        <w:spacing w:after="160"/>
      </w:pPr>
    </w:p>
    <w:p>
      <w:r>
        <w:rPr>
          <w:rFonts w:ascii="Calibri" w:hAnsi="Calibri"/>
          <w:b/>
          <w:color w:val="102C57"/>
          <w:sz w:val="24"/>
        </w:rPr>
        <w:t>3. QUANTITATIVE RISK &amp; MULTI-YEAR KPI MATRIX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b/>
              </w:rPr>
              <w:t>Indicator / KPI</w:t>
            </w:r>
          </w:p>
        </w:tc>
        <w:tc>
          <w:tcPr>
            <w:tcW w:type="dxa" w:w="2016"/>
          </w:tcPr>
          <w:p>
            <w:r>
              <w:rPr>
                <w:b/>
              </w:rPr>
              <w:t>Baseline</w:t>
            </w:r>
          </w:p>
        </w:tc>
        <w:tc>
          <w:tcPr>
            <w:tcW w:type="dxa" w:w="2016"/>
          </w:tcPr>
          <w:p>
            <w:r>
              <w:rPr>
                <w:b/>
              </w:rPr>
              <w:t>Mid-Term (Yr 2)</w:t>
            </w:r>
          </w:p>
        </w:tc>
        <w:tc>
          <w:tcPr>
            <w:tcW w:type="dxa" w:w="2016"/>
          </w:tcPr>
          <w:p>
            <w:r>
              <w:rPr>
                <w:b/>
              </w:rPr>
              <w:t>Final Goal (Yr 5)</w:t>
            </w:r>
          </w:p>
        </w:tc>
        <w:tc>
          <w:tcPr>
            <w:tcW w:type="dxa" w:w="2016"/>
          </w:tcPr>
          <w:p>
            <w:r>
              <w:rPr>
                <w:b/>
              </w:rPr>
              <w:t>Verification Source</w:t>
            </w:r>
          </w:p>
        </w:tc>
      </w:tr>
      <w:tr>
        <w:tc>
          <w:tcPr>
            <w:tcW w:type="dxa" w:w="2016"/>
          </w:tcPr>
          <w:p>
            <w:pPr>
              <w:spacing w:after="20"/>
            </w:pPr>
            <w:r>
              <w:t>Direct Households Reached</w:t>
            </w:r>
          </w:p>
        </w:tc>
        <w:tc>
          <w:tcPr>
            <w:tcW w:type="dxa" w:w="2016"/>
          </w:tcPr>
          <w:p>
            <w:pPr>
              <w:spacing w:after="20"/>
            </w:pPr>
            <w:r>
              <w:t>0</w:t>
            </w:r>
          </w:p>
        </w:tc>
        <w:tc>
          <w:tcPr>
            <w:tcW w:type="dxa" w:w="2016"/>
          </w:tcPr>
          <w:p>
            <w:pPr>
              <w:spacing w:after="20"/>
            </w:pPr>
            <w:r>
              <w:t>120,000</w:t>
            </w:r>
          </w:p>
        </w:tc>
        <w:tc>
          <w:tcPr>
            <w:tcW w:type="dxa" w:w="2016"/>
          </w:tcPr>
          <w:p>
            <w:pPr>
              <w:spacing w:after="20"/>
            </w:pPr>
            <w:r>
              <w:t>500,000</w:t>
            </w:r>
          </w:p>
        </w:tc>
        <w:tc>
          <w:tcPr>
            <w:tcW w:type="dxa" w:w="2016"/>
          </w:tcPr>
          <w:p>
            <w:pPr>
              <w:spacing w:after="20"/>
            </w:pPr>
            <w:r>
              <w:t>Biometrically verified branchless transaction logs</w:t>
            </w:r>
          </w:p>
        </w:tc>
      </w:tr>
      <w:tr>
        <w:tc>
          <w:tcPr>
            <w:tcW w:type="dxa" w:w="2016"/>
          </w:tcPr>
          <w:p>
            <w:pPr>
              <w:spacing w:after="20"/>
            </w:pPr>
            <w:r>
              <w:t>Emergency Response Latency</w:t>
            </w:r>
          </w:p>
        </w:tc>
        <w:tc>
          <w:tcPr>
            <w:tcW w:type="dxa" w:w="2016"/>
          </w:tcPr>
          <w:p>
            <w:pPr>
              <w:spacing w:after="20"/>
            </w:pPr>
            <w:r>
              <w:t>21-35 Days</w:t>
            </w:r>
          </w:p>
        </w:tc>
        <w:tc>
          <w:tcPr>
            <w:tcW w:type="dxa" w:w="2016"/>
          </w:tcPr>
          <w:p>
            <w:pPr>
              <w:spacing w:after="20"/>
            </w:pPr>
            <w:r>
              <w:t>72 Hours</w:t>
            </w:r>
          </w:p>
        </w:tc>
        <w:tc>
          <w:tcPr>
            <w:tcW w:type="dxa" w:w="2016"/>
          </w:tcPr>
          <w:p>
            <w:pPr>
              <w:spacing w:after="20"/>
            </w:pPr>
            <w:r>
              <w:t>24 Hours</w:t>
            </w:r>
          </w:p>
        </w:tc>
        <w:tc>
          <w:tcPr>
            <w:tcW w:type="dxa" w:w="2016"/>
          </w:tcPr>
          <w:p>
            <w:pPr>
              <w:spacing w:after="20"/>
            </w:pPr>
            <w:r>
              <w:t>Automated system telemetry &amp; SMS dispatch logs</w:t>
            </w:r>
          </w:p>
        </w:tc>
      </w:tr>
      <w:tr>
        <w:tc>
          <w:tcPr>
            <w:tcW w:type="dxa" w:w="2016"/>
          </w:tcPr>
          <w:p>
            <w:pPr>
              <w:spacing w:after="20"/>
            </w:pPr>
            <w:r>
              <w:t>Female Economic Autonomy Ratio</w:t>
            </w:r>
          </w:p>
        </w:tc>
        <w:tc>
          <w:tcPr>
            <w:tcW w:type="dxa" w:w="2016"/>
          </w:tcPr>
          <w:p>
            <w:pPr>
              <w:spacing w:after="20"/>
            </w:pPr>
            <w:r>
              <w:t>&lt;15%</w:t>
            </w:r>
          </w:p>
        </w:tc>
        <w:tc>
          <w:tcPr>
            <w:tcW w:type="dxa" w:w="2016"/>
          </w:tcPr>
          <w:p>
            <w:pPr>
              <w:spacing w:after="20"/>
            </w:pPr>
            <w:r>
              <w:t>&gt;60%</w:t>
            </w:r>
          </w:p>
        </w:tc>
        <w:tc>
          <w:tcPr>
            <w:tcW w:type="dxa" w:w="2016"/>
          </w:tcPr>
          <w:p>
            <w:pPr>
              <w:spacing w:after="20"/>
            </w:pPr>
            <w:r>
              <w:t>&gt;75%</w:t>
            </w:r>
          </w:p>
        </w:tc>
        <w:tc>
          <w:tcPr>
            <w:tcW w:type="dxa" w:w="2016"/>
          </w:tcPr>
          <w:p>
            <w:pPr>
              <w:spacing w:after="20"/>
            </w:pPr>
            <w:r>
              <w:t>BISP digital wallet ownership verification</w:t>
            </w:r>
          </w:p>
        </w:tc>
      </w:tr>
      <w:tr>
        <w:tc>
          <w:tcPr>
            <w:tcW w:type="dxa" w:w="2016"/>
          </w:tcPr>
          <w:p>
            <w:pPr>
              <w:spacing w:after="20"/>
            </w:pPr>
            <w:r>
              <w:t>Waterborne Morbidity Reduction</w:t>
            </w:r>
          </w:p>
        </w:tc>
        <w:tc>
          <w:tcPr>
            <w:tcW w:type="dxa" w:w="2016"/>
          </w:tcPr>
          <w:p>
            <w:pPr>
              <w:spacing w:after="20"/>
            </w:pPr>
            <w:r>
              <w:t>Baseline</w:t>
            </w:r>
          </w:p>
        </w:tc>
        <w:tc>
          <w:tcPr>
            <w:tcW w:type="dxa" w:w="2016"/>
          </w:tcPr>
          <w:p>
            <w:pPr>
              <w:spacing w:after="20"/>
            </w:pPr>
            <w:r>
              <w:t>-35%</w:t>
            </w:r>
          </w:p>
        </w:tc>
        <w:tc>
          <w:tcPr>
            <w:tcW w:type="dxa" w:w="2016"/>
          </w:tcPr>
          <w:p>
            <w:pPr>
              <w:spacing w:after="20"/>
            </w:pPr>
            <w:r>
              <w:t>-60%</w:t>
            </w:r>
          </w:p>
        </w:tc>
        <w:tc>
          <w:tcPr>
            <w:tcW w:type="dxa" w:w="2016"/>
          </w:tcPr>
          <w:p>
            <w:pPr>
              <w:spacing w:after="20"/>
            </w:pPr>
            <w:r>
              <w:t>District Health Information System (DHIS) reports</w:t>
            </w:r>
          </w:p>
        </w:tc>
      </w:tr>
      <w:tr>
        <w:tc>
          <w:tcPr>
            <w:tcW w:type="dxa" w:w="2016"/>
          </w:tcPr>
          <w:p>
            <w:pPr>
              <w:spacing w:after="20"/>
            </w:pPr>
            <w:r>
              <w:t>Audit Cleanliness &amp; Transparency</w:t>
            </w:r>
          </w:p>
        </w:tc>
        <w:tc>
          <w:tcPr>
            <w:tcW w:type="dxa" w:w="2016"/>
          </w:tcPr>
          <w:p>
            <w:pPr>
              <w:spacing w:after="20"/>
            </w:pPr>
            <w:r>
              <w:t>Unverified</w:t>
            </w:r>
          </w:p>
        </w:tc>
        <w:tc>
          <w:tcPr>
            <w:tcW w:type="dxa" w:w="2016"/>
          </w:tcPr>
          <w:p>
            <w:pPr>
              <w:spacing w:after="20"/>
            </w:pPr>
            <w:r>
              <w:t>100% Unqualified</w:t>
            </w:r>
          </w:p>
        </w:tc>
        <w:tc>
          <w:tcPr>
            <w:tcW w:type="dxa" w:w="2016"/>
          </w:tcPr>
          <w:p>
            <w:pPr>
              <w:spacing w:after="20"/>
            </w:pPr>
            <w:r>
              <w:t>Zero Paras</w:t>
            </w:r>
          </w:p>
        </w:tc>
        <w:tc>
          <w:tcPr>
            <w:tcW w:type="dxa" w:w="2016"/>
          </w:tcPr>
          <w:p>
            <w:pPr>
              <w:spacing w:after="20"/>
            </w:pPr>
            <w:r>
              <w:t>Auditor General of Pakistan external review</w:t>
            </w:r>
          </w:p>
        </w:tc>
      </w:tr>
    </w:tbl>
    <w:p>
      <w:pPr>
        <w:spacing w:before="240"/>
      </w:pPr>
      <w:r>
        <w:rPr>
          <w:rFonts w:ascii="Calibri" w:hAnsi="Calibri"/>
          <w:b/>
          <w:color w:val="102C57"/>
          <w:sz w:val="24"/>
        </w:rPr>
        <w:t>4. MULTI-SECTORAL STANDARD OPERATING PROCEDURES (SOPS)</w:t>
      </w:r>
    </w:p>
    <w:p>
      <w:pPr>
        <w:pStyle w:val="ListBullet"/>
        <w:spacing w:after="60"/>
      </w:pPr>
      <w:r>
        <w:rPr>
          <w:b/>
          <w:color w:val="102C57"/>
        </w:rPr>
        <w:t xml:space="preserve">SOP-01: Free, Prior &amp; Informed Community Consent (FPIC): </w:t>
      </w:r>
      <w:r>
        <w:t>Mandatory structured rural appraisals conducted in local vernaculars, engaging village elders and women's committees to guarantee community ownership.</w:t>
      </w:r>
    </w:p>
    <w:p>
      <w:pPr>
        <w:pStyle w:val="ListBullet"/>
        <w:spacing w:after="60"/>
      </w:pPr>
      <w:r>
        <w:rPr>
          <w:b/>
          <w:color w:val="102C57"/>
        </w:rPr>
        <w:t xml:space="preserve">SOP-02: Zero-Tolerance Safeguarding &amp; PSEA Enforcement: </w:t>
      </w:r>
      <w:r>
        <w:t>Immediate escalation protocols for Protection from Sexual Exploitation and Abuse (PSEA) adhering to Inter-Agency Standing Committee (IASC) global standards.</w:t>
      </w:r>
    </w:p>
    <w:p>
      <w:pPr>
        <w:pStyle w:val="ListBullet"/>
        <w:spacing w:after="60"/>
      </w:pPr>
      <w:r>
        <w:rPr>
          <w:b/>
          <w:color w:val="102C57"/>
        </w:rPr>
        <w:t xml:space="preserve">SOP-03: Transparent Financial &amp; Public Procurement Integrity: </w:t>
      </w:r>
      <w:r>
        <w:t>Dual-signoff disbursement protocols, competitive tendering conforming to Public Procurement Regulatory Authority (PPRA) rules, and on-site public financial notice boards.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