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46464"/>
          <w:sz w:val="17"/>
        </w:rPr>
        <w:t>APPLIED SYSTEMS FRAMEWORK // WORKING DRAFT FOR CAPACITY MODELING</w:t>
      </w:r>
    </w:p>
    <w:p>
      <w:pPr>
        <w:spacing w:after="160"/>
      </w:pPr>
      <w:r>
        <w:rPr>
          <w:rFonts w:ascii="Calibri" w:hAnsi="Calibri"/>
          <w:i/>
          <w:color w:val="A03232"/>
          <w:sz w:val="16"/>
        </w:rPr>
        <w:t>DISCLAIMER: Non-authoritative working draft. Prepared as an applied research architecture. Not a submitted government policy or statutory instrument.</w:t>
      </w:r>
    </w:p>
    <w:p>
      <w:pPr>
        <w:spacing w:after="60"/>
      </w:pPr>
      <w:r>
        <w:rPr>
          <w:rFonts w:ascii="Calibri" w:hAnsi="Calibri"/>
          <w:b/>
          <w:color w:val="102C57"/>
          <w:sz w:val="32"/>
        </w:rPr>
        <w:t>FUSION-02: Developing-Area Women’s Integrated Legal, Financial &amp; Reproductive Autonomy Nexus</w:t>
      </w:r>
    </w:p>
    <w:p>
      <w:pPr>
        <w:spacing w:after="120"/>
      </w:pPr>
      <w:r>
        <w:rPr>
          <w:rFonts w:ascii="Calibri" w:hAnsi="Calibri"/>
          <w:i/>
          <w:color w:val="323232"/>
          <w:sz w:val="21"/>
        </w:rPr>
        <w:t>Holistic Grassroots Delivery Architecture: Mobile Civil Identity, Producer Cooperatives &amp; Obstetric Tele-Triage</w:t>
      </w:r>
    </w:p>
    <w:p>
      <w:pPr>
        <w:spacing w:after="240"/>
      </w:pPr>
      <w:r>
        <w:rPr>
          <w:rFonts w:ascii="Calibri" w:hAnsi="Calibri"/>
          <w:b/>
          <w:color w:val="102C57"/>
          <w:sz w:val="18"/>
        </w:rPr>
        <w:t>Target Counterparts: UN Women / UNFPA / National Commission on the Status of Women (NCSW)  •  Normative Frameworks: SDG 3 (Good Health), SDG 5 (Gender Equality), SDG 8 (Decent Work), SDG 16 (Peace &amp; Justice)</w:t>
      </w:r>
    </w:p>
    <w:p>
      <w:r>
        <w:rPr>
          <w:rFonts w:ascii="Calibri" w:hAnsi="Calibri"/>
          <w:b/>
          <w:color w:val="102C57"/>
          <w:sz w:val="24"/>
        </w:rPr>
        <w:t>1. EXECUTIVE SUMMARY &amp; POLICY CONTEXT</w:t>
      </w:r>
    </w:p>
    <w:p>
      <w:pPr>
        <w:spacing w:after="200" w:line="276" w:lineRule="auto"/>
      </w:pPr>
      <w:r>
        <w:rPr>
          <w:rFonts w:ascii="Calibri" w:hAnsi="Calibri"/>
          <w:color w:val="323232"/>
          <w:sz w:val="19"/>
        </w:rPr>
        <w:t>Rural women in underdeveloped districts face compounding structural exclusion: lack of a CNIC prevents bank account ownership; lack of independent income leaves them unable to escape domestic violence; and isolated healthcare access drives preventable maternal deaths. FUSION-02 deploys Union Council Women Empowerment Centers (WECs) delivering a unified package: mobile NADRA registration vans, formal home-based worker cooperatives with transparent piece-rate pricing, community midwife obstetric tele-triage, and paralegal defense against unlawful inheritance disinheritance.</w:t>
      </w:r>
    </w:p>
    <w:p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lateral_socio_economic_bas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7"/>
        </w:rPr>
        <w:t>Figure 1: Quantitative Telemetry &amp; Systems Indicator Model (FUSION-02: Developing-Area Women’s ...)</w:t>
      </w:r>
    </w:p>
    <w:p>
      <w:r>
        <w:rPr>
          <w:rFonts w:ascii="Calibri" w:hAnsi="Calibri"/>
          <w:b/>
          <w:color w:val="102C57"/>
          <w:sz w:val="24"/>
        </w:rPr>
        <w:t>2. OPERATIONAL DIMENSIONS (5W + 1H FRAMEWORK)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7632"/>
          </w:tcPr>
          <w:p>
            <w:r>
              <w:rPr>
                <w:b/>
              </w:rPr>
              <w:t>Operational Specification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5040"/>
          </w:tcPr>
          <w:p>
            <w:r>
              <w:t>One-stop decentralized socio-legal, reproductive health, and cooperative economic enablement hub.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5040"/>
          </w:tcPr>
          <w:p>
            <w:r>
              <w:t>Resolves interlocking gender disadvantages by delivering civil identity, economic power, and healthcare simultaneously.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WHO</w:t>
            </w:r>
          </w:p>
        </w:tc>
        <w:tc>
          <w:tcPr>
            <w:tcW w:type="dxa" w:w="5040"/>
          </w:tcPr>
          <w:p>
            <w:r>
              <w:t>Rural home-based female artisans, agricultural tenant workers, and young mothers in underdeveloped union councils.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5040"/>
          </w:tcPr>
          <w:p>
            <w:r>
              <w:t>Rural union councils across Khyber Pakhtunkhwa, South Punjab, and rural Sindh.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</w:tcPr>
          <w:p>
            <w:r>
              <w:t>Continuous 3-year phased implementation with quarterly judicial and maternal health milestones.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HOW</w:t>
            </w:r>
          </w:p>
        </w:tc>
        <w:tc>
          <w:tcPr>
            <w:tcW w:type="dxa" w:w="5040"/>
          </w:tcPr>
          <w:p>
            <w:r>
              <w:t>Community mobilization via Lady Health Workers, mobile government desks, and fair-trade market linkages.</w:t>
            </w:r>
          </w:p>
        </w:tc>
      </w:tr>
    </w:tbl>
    <w:p>
      <w:pPr>
        <w:spacing w:after="160"/>
      </w:pPr>
    </w:p>
    <w:p>
      <w:r>
        <w:rPr>
          <w:rFonts w:ascii="Calibri" w:hAnsi="Calibri"/>
          <w:b/>
          <w:color w:val="102C57"/>
          <w:sz w:val="24"/>
        </w:rPr>
        <w:t>3. QUANTITATIVE RISK &amp; MULTI-YEAR KPI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Indicator / KPI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Mid-Term (Yr 2)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Final Goal (Yr 5)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Verification Source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Rural Women CNIC Registration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38% Local Baseline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&gt;75%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&gt;90%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NADRA verification registers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Cooperative Net Monthly Earnings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&lt;$20 / Month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&gt;$65 / Month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&gt;$110 / Month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Cooperative audited double-entry passbooks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Maternal Mortality Ratio (MMR)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186 / 100k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130 / 100k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&lt;85 / 100k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District health vital statistics records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Inheritance Title Mutations Secured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&gt;45%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&gt;70%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Provincial Revenue Board land records (Fard)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Formal Legal Aid Redress Rate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&lt;10%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&gt;55%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&gt;80%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District Bar Association legal aid rosters</w:t>
            </w:r>
          </w:p>
        </w:tc>
      </w:tr>
    </w:tbl>
    <w:p>
      <w:pPr>
        <w:spacing w:before="240"/>
      </w:pPr>
      <w:r>
        <w:rPr>
          <w:rFonts w:ascii="Calibri" w:hAnsi="Calibri"/>
          <w:b/>
          <w:color w:val="102C57"/>
          <w:sz w:val="24"/>
        </w:rPr>
        <w:t>4. MULTI-SECTORAL STANDARD OPERATING PROCEDURES (SOPS)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SOP-01: Free, Prior &amp; Informed Community Consent (FPIC): </w:t>
      </w:r>
      <w:r>
        <w:t>Mandatory structured rural appraisals conducted in local vernaculars, engaging village elders and women's committees to guarantee community ownership.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SOP-02: Zero-Tolerance Safeguarding &amp; PSEA Enforcement: </w:t>
      </w:r>
      <w:r>
        <w:t>Immediate escalation protocols for Protection from Sexual Exploitation and Abuse (PSEA) adhering to Inter-Agency Standing Committee (IASC) global standards.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SOP-03: Transparent Financial &amp; Public Procurement Integrity: </w:t>
      </w:r>
      <w:r>
        <w:t>Dual-signoff disbursement protocols, competitive tendering conforming to Public Procurement Regulatory Authority (PPRA) rules, and on-site public financial notice boards.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