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46464"/>
          <w:sz w:val="17"/>
        </w:rPr>
        <w:t>APPLIED SYSTEMS FRAMEWORK // WORKING DRAFT FOR CAPACITY MODELING</w:t>
      </w:r>
    </w:p>
    <w:p>
      <w:pPr>
        <w:spacing w:after="160"/>
      </w:pPr>
      <w:r>
        <w:rPr>
          <w:rFonts w:ascii="Calibri" w:hAnsi="Calibri"/>
          <w:i/>
          <w:color w:val="A03232"/>
          <w:sz w:val="16"/>
        </w:rPr>
        <w:t>DISCLAIMER: Non-authoritative working draft. Prepared as an applied research architecture. Not a submitted government policy or statutory instrument.</w:t>
      </w:r>
    </w:p>
    <w:p>
      <w:pPr>
        <w:spacing w:after="60"/>
      </w:pPr>
      <w:r>
        <w:rPr>
          <w:rFonts w:ascii="Calibri" w:hAnsi="Calibri"/>
          <w:b/>
          <w:color w:val="102C57"/>
          <w:sz w:val="32"/>
        </w:rPr>
        <w:t>FUSION-03: Holistic Child Safeguarding, Psychosocial Rehabilitation &amp; Offline Digital Literacy System</w:t>
      </w:r>
    </w:p>
    <w:p>
      <w:pPr>
        <w:spacing w:after="120"/>
      </w:pPr>
      <w:r>
        <w:rPr>
          <w:rFonts w:ascii="Calibri" w:hAnsi="Calibri"/>
          <w:i/>
          <w:color w:val="323232"/>
          <w:sz w:val="21"/>
        </w:rPr>
        <w:t>Institutional Architecture for Child Welfare Centers, Unaccompanied Displaced Minors &amp; Safe Learning Pavilions</w:t>
      </w:r>
    </w:p>
    <w:p>
      <w:pPr>
        <w:spacing w:after="240"/>
      </w:pPr>
      <w:r>
        <w:rPr>
          <w:rFonts w:ascii="Calibri" w:hAnsi="Calibri"/>
          <w:b/>
          <w:color w:val="102C57"/>
          <w:sz w:val="18"/>
        </w:rPr>
        <w:t>Target Counterparts: UNICEF Child Protection &amp; Education / National Commission on the Rights of Child (NCRC)  •  Normative Frameworks: SDG 4 (Quality Education), SDG 10 (Reduced Inequalities), SDG 16 (Peace, Justice &amp; Child Protection)</w:t>
      </w:r>
    </w:p>
    <w:p>
      <w:r>
        <w:rPr>
          <w:rFonts w:ascii="Calibri" w:hAnsi="Calibri"/>
          <w:b/>
          <w:color w:val="102C57"/>
          <w:sz w:val="24"/>
        </w:rPr>
        <w:t>1. EXECUTIVE SUMMARY &amp; POLICY CONTEXT</w:t>
      </w:r>
    </w:p>
    <w:p>
      <w:pPr>
        <w:spacing w:after="200" w:line="276" w:lineRule="auto"/>
      </w:pPr>
      <w:r>
        <w:rPr>
          <w:rFonts w:ascii="Calibri" w:hAnsi="Calibri"/>
          <w:color w:val="323232"/>
          <w:sz w:val="19"/>
        </w:rPr>
        <w:t>This framework reconciles humanitarian child protection in disaster shelters with modern digital education. It establishes air-gapped local education servers and offline LLM learning pods running on donated computers inside welfare homes and transit camps. It pairs cutting-edge, zero-risk digital literacy with rigorous trauma-informed play therapies, Best Interests Determination (BID) case tracking for unaccompanied minors, and strict diversion mechanisms to protect first-time juvenile offenders from adult prison remand under the Juvenile Justice System Act.</w:t>
      </w:r>
    </w:p>
    <w:p>
      <w:r>
        <w:drawing>
          <wp:inline xmlns:a="http://schemas.openxmlformats.org/drawingml/2006/main" xmlns:pic="http://schemas.openxmlformats.org/drawingml/2006/picture">
            <wp:extent cx="6217920" cy="4974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bv_spatial_risk_matrix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7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7"/>
        </w:rPr>
        <w:t>Figure 1: Quantitative Telemetry &amp; Systems Indicator Model (FUSION-03: Holistic Child Safeguard...)</w:t>
      </w:r>
    </w:p>
    <w:p>
      <w:r>
        <w:rPr>
          <w:rFonts w:ascii="Calibri" w:hAnsi="Calibri"/>
          <w:b/>
          <w:color w:val="102C57"/>
          <w:sz w:val="24"/>
        </w:rPr>
        <w:t>2. OPERATIONAL DIMENSIONS (5W + 1H FRAMEWORK)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7632"/>
          </w:tcPr>
          <w:p>
            <w:r>
              <w:rPr>
                <w:b/>
              </w:rPr>
              <w:t>Operational Specification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5040"/>
          </w:tcPr>
          <w:p>
            <w:r>
              <w:t>Multi-tier child protection, psychosocial rehabilitation, and offline digital education system.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5040"/>
          </w:tcPr>
          <w:p>
            <w:r>
              <w:t>Protects sheltered and displaced children from exploitation while bridging the acute digital knowledge divide.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WHO</w:t>
            </w:r>
          </w:p>
        </w:tc>
        <w:tc>
          <w:tcPr>
            <w:tcW w:type="dxa" w:w="5040"/>
          </w:tcPr>
          <w:p>
            <w:r>
              <w:t>Orphaned children, unaccompanied displaced minors, street-connected youth, and juvenile remand candidates.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5040"/>
          </w:tcPr>
          <w:p>
            <w:r>
              <w:t>Public orphanages (Dar-ul-Aman), crisis relief camps, and juvenile justice observation centers nationwide.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</w:tcPr>
          <w:p>
            <w:r>
              <w:t>Continuous academic and psychosocial calendar with bi-monthly case management audits.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HOW</w:t>
            </w:r>
          </w:p>
        </w:tc>
        <w:tc>
          <w:tcPr>
            <w:tcW w:type="dxa" w:w="5040"/>
          </w:tcPr>
          <w:p>
            <w:r>
              <w:t>Air-gapped local computing hardware, non-biometric privacy schemas, and trauma-informed social caseworkers.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color w:val="102C57"/>
          <w:sz w:val="24"/>
        </w:rPr>
        <w:t>3. QUANTITATIVE RISK &amp; MULTI-YEAR KPI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Indicator / KPI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Mid-Term (Yr 2)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Final Goal (Yr 5)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Verification Source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Unaccompanied Minors Traced / Safe Foster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&lt;20%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&gt;70%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&gt;90%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UNICEF standardized child protection registers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Offline Digital Literacy Attainment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&gt;65% Passing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&gt;85% Certified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Practical offline lab challenge scorecards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Juvenile Adult Remand Diversion Rate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&lt;15%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&gt;60%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&gt;85%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Juvenile Justice Committee (JJC) court orders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Psychosocial Trauma Recovery Index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Severe Baseline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Moderate-Mild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Resilient Adaptation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Validated pediatric clinical stress scoring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Zero Safeguarding / PSEA Violations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Unmonitored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100% Zero-Tolerance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100% Certified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Independent annual safeguarding audit</w:t>
            </w:r>
          </w:p>
        </w:tc>
      </w:tr>
    </w:tbl>
    <w:p>
      <w:pPr>
        <w:spacing w:before="240"/>
      </w:pPr>
      <w:r>
        <w:rPr>
          <w:rFonts w:ascii="Calibri" w:hAnsi="Calibri"/>
          <w:b/>
          <w:color w:val="102C57"/>
          <w:sz w:val="24"/>
        </w:rPr>
        <w:t>4. MULTI-SECTORAL STANDARD OPERATING PROCEDURES (SOPS)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SOP-01: Free, Prior &amp; Informed Community Consent (FPIC): </w:t>
      </w:r>
      <w:r>
        <w:t>Mandatory structured rural appraisals conducted in local vernaculars, engaging village elders and women's committees to guarantee community ownership.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SOP-02: Zero-Tolerance Safeguarding &amp; PSEA Enforcement: </w:t>
      </w:r>
      <w:r>
        <w:t>Immediate escalation protocols for Protection from Sexual Exploitation and Abuse (PSEA) adhering to Inter-Agency Standing Committee (IASC) global standards.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SOP-03: Transparent Financial &amp; Public Procurement Integrity: </w:t>
      </w:r>
      <w:r>
        <w:t>Dual-signoff disbursement protocols, competitive tendering conforming to Public Procurement Regulatory Authority (PPRA) rules, and on-site public financial notice boards.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