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46464"/>
          <w:sz w:val="17"/>
        </w:rPr>
        <w:t>APPLIED SYSTEMS FRAMEWORK // WORKING DRAFT FOR CAPACITY MODELING</w:t>
      </w:r>
    </w:p>
    <w:p>
      <w:pPr>
        <w:spacing w:after="160"/>
      </w:pPr>
      <w:r>
        <w:rPr>
          <w:rFonts w:ascii="Calibri" w:hAnsi="Calibri"/>
          <w:i/>
          <w:color w:val="A03232"/>
          <w:sz w:val="16"/>
        </w:rPr>
        <w:t>DISCLAIMER: Non-authoritative working draft. Prepared as an applied research architecture. Not a submitted government policy or statutory instrument.</w:t>
      </w:r>
    </w:p>
    <w:p>
      <w:pPr>
        <w:spacing w:after="60"/>
      </w:pPr>
      <w:r>
        <w:rPr>
          <w:rFonts w:ascii="Calibri" w:hAnsi="Calibri"/>
          <w:b/>
          <w:color w:val="102C57"/>
          <w:sz w:val="32"/>
        </w:rPr>
        <w:t>FUSION-04: Integrated Watershed QHSE, Circular Agroecology &amp; Community Water Governance Framework</w:t>
      </w:r>
    </w:p>
    <w:p>
      <w:pPr>
        <w:spacing w:after="120"/>
      </w:pPr>
      <w:r>
        <w:rPr>
          <w:rFonts w:ascii="Calibri" w:hAnsi="Calibri"/>
          <w:i/>
          <w:color w:val="323232"/>
          <w:sz w:val="21"/>
        </w:rPr>
        <w:t>Watershed-Scale Quality, Health, Safety, Environment &amp; Subsurface Greywater Bio-Filtration Architecture</w:t>
      </w:r>
    </w:p>
    <w:p>
      <w:pPr>
        <w:spacing w:after="240"/>
      </w:pPr>
      <w:r>
        <w:rPr>
          <w:rFonts w:ascii="Calibri" w:hAnsi="Calibri"/>
          <w:b/>
          <w:color w:val="102C57"/>
          <w:sz w:val="18"/>
        </w:rPr>
        <w:t>Target Counterparts: FAO / UNDP / Ministry of Water Resources / Provincial Environmental Protection Agencies (EPAs)  •  Normative Frameworks: SDG 2 (Zero Hunger), SDG 6 (Clean Water), SDG 12 (Responsible Consumption), SDG 15 (Life on Land)</w:t>
      </w:r>
    </w:p>
    <w:p>
      <w:r>
        <w:rPr>
          <w:rFonts w:ascii="Calibri" w:hAnsi="Calibri"/>
          <w:b/>
          <w:color w:val="102C57"/>
          <w:sz w:val="24"/>
        </w:rPr>
        <w:t>1. EXECUTIVE SUMMARY &amp; POLICY CONTEXT</w:t>
      </w:r>
    </w:p>
    <w:p>
      <w:pPr>
        <w:spacing w:after="200" w:line="276" w:lineRule="auto"/>
      </w:pPr>
      <w:r>
        <w:rPr>
          <w:rFonts w:ascii="Calibri" w:hAnsi="Calibri"/>
          <w:color w:val="323232"/>
          <w:sz w:val="19"/>
        </w:rPr>
        <w:t>Untreated domestic effluents and industrial agricultural runoff severely contaminate rural aquifers, driving infant diarrheal mortality and destroying agricultural productivity. FUSION-04 models a circular watershed management architecture: it integrates ISO 14001 environmental safety standards with decentralized subsurface gravel and reed-bed filters that convert domestic wash greywater into clean fodder irrigation, paired with community indigenous seed banking and citizen-led water quality audits enforcing EPA regulatory compliance.</w:t>
      </w:r>
    </w:p>
    <w:p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cipatory_action_protec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7"/>
        </w:rPr>
        <w:t>Figure 1: Quantitative Telemetry &amp; Systems Indicator Model (FUSION-04: Integrated Watershed QHS...)</w:t>
      </w:r>
    </w:p>
    <w:p>
      <w:r>
        <w:rPr>
          <w:rFonts w:ascii="Calibri" w:hAnsi="Calibri"/>
          <w:b/>
          <w:color w:val="102C57"/>
          <w:sz w:val="24"/>
        </w:rPr>
        <w:t>2. OPERATIONAL DIMENSIONS (5W + 1H FRAMEWORK)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7632"/>
          </w:tcPr>
          <w:p>
            <w:r>
              <w:rPr>
                <w:b/>
              </w:rPr>
              <w:t>Operational Specification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5040"/>
          </w:tcPr>
          <w:p>
            <w:r>
              <w:t>Integrated environmental health, greywater recycling, and agroecological resilience architecture.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WHY</w:t>
            </w:r>
          </w:p>
        </w:tc>
        <w:tc>
          <w:tcPr>
            <w:tcW w:type="dxa" w:w="5040"/>
          </w:tcPr>
          <w:p>
            <w:r>
              <w:t>Halts severe aquifer contamination, preserves agricultural livelihoods, and protects infant health.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WHO</w:t>
            </w:r>
          </w:p>
        </w:tc>
        <w:tc>
          <w:tcPr>
            <w:tcW w:type="dxa" w:w="5040"/>
          </w:tcPr>
          <w:p>
            <w:r>
              <w:t>Smallholder farming families, village water committees, and downstream municipal water consumers.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5040"/>
          </w:tcPr>
          <w:p>
            <w:r>
              <w:t>Indus Basin irrigation channels, Potohar rainwater catchments, and arid Karez zones in Balochistan.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5040"/>
          </w:tcPr>
          <w:p>
            <w:r>
              <w:t>Operational alignment with Kharif and Rabi cropping seasons and seasonal flood recharge periods.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HOW</w:t>
            </w:r>
          </w:p>
        </w:tc>
        <w:tc>
          <w:tcPr>
            <w:tcW w:type="dxa" w:w="5040"/>
          </w:tcPr>
          <w:p>
            <w:r>
              <w:t>Decentralized bio-gravel filtration, citizen water kiosks, and EPA statutory legal enforcement.</w:t>
            </w:r>
          </w:p>
        </w:tc>
      </w:tr>
    </w:tbl>
    <w:p>
      <w:pPr>
        <w:spacing w:after="160"/>
      </w:pPr>
    </w:p>
    <w:p>
      <w:r>
        <w:rPr>
          <w:rFonts w:ascii="Calibri" w:hAnsi="Calibri"/>
          <w:b/>
          <w:color w:val="102C57"/>
          <w:sz w:val="24"/>
        </w:rPr>
        <w:t>3. QUANTITATIVE RISK &amp; MULTI-YEAR KPI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Indicator / KPI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Mid-Term (Yr 2)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Final Goal (Yr 5)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Verification Source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Effluent Biological Contaminant Removal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&lt;10%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&gt;75% COD/BOD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&gt;92% Coliform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Certified EPA environmental lab testing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Community Fodder Yield Increase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Baseline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+30% Yield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+55% Yield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Agricultural extension harvest surveys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Waterborne Diarrheal Incidence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High Epidemic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-40%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-70%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Basic Health Unit (BHU) epidemiological logs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Heirloom Seed Genetic Preservation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Extinction Risk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150 Varieties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400 Varieties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National gene-bank registered seed passports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t>Industrial Effluent Legal Notices Issued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0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100% Non-Compliant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Zero Unmitigated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t>Provincial Environmental Protection Tribunal logs</w:t>
            </w:r>
          </w:p>
        </w:tc>
      </w:tr>
    </w:tbl>
    <w:p>
      <w:pPr>
        <w:spacing w:before="240"/>
      </w:pPr>
      <w:r>
        <w:rPr>
          <w:rFonts w:ascii="Calibri" w:hAnsi="Calibri"/>
          <w:b/>
          <w:color w:val="102C57"/>
          <w:sz w:val="24"/>
        </w:rPr>
        <w:t>4. MULTI-SECTORAL STANDARD OPERATING PROCEDURES (SOPS)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SOP-01: Free, Prior &amp; Informed Community Consent (FPIC): </w:t>
      </w:r>
      <w:r>
        <w:t>Mandatory structured rural appraisals conducted in local vernaculars, engaging village elders and women's committees to guarantee community ownership.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SOP-02: Zero-Tolerance Safeguarding &amp; PSEA Enforcement: </w:t>
      </w:r>
      <w:r>
        <w:t>Immediate escalation protocols for Protection from Sexual Exploitation and Abuse (PSEA) adhering to Inter-Agency Standing Committee (IASC) global standards.</w:t>
      </w:r>
    </w:p>
    <w:p>
      <w:pPr>
        <w:pStyle w:val="ListBullet"/>
        <w:spacing w:after="60"/>
      </w:pPr>
      <w:r>
        <w:rPr>
          <w:b/>
          <w:color w:val="102C57"/>
        </w:rPr>
        <w:t xml:space="preserve">SOP-03: Transparent Financial &amp; Public Procurement Integrity: </w:t>
      </w:r>
      <w:r>
        <w:t>Dual-signoff disbursement protocols, competitive tendering conforming to Public Procurement Regulatory Authority (PPRA) rules, and on-site public financial notice boards.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