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46464"/>
          <w:sz w:val="17"/>
        </w:rPr>
        <w:t>APPLIED SYSTEMS FRAMEWORK // WORKING DRAFT FOR CAPACITY MODELING</w:t>
      </w:r>
    </w:p>
    <w:p>
      <w:pPr>
        <w:spacing w:after="160"/>
      </w:pPr>
      <w:r>
        <w:rPr>
          <w:rFonts w:ascii="Calibri" w:hAnsi="Calibri"/>
          <w:i/>
          <w:color w:val="A03232"/>
          <w:sz w:val="16"/>
        </w:rPr>
        <w:t>DISCLAIMER: Non-authoritative working draft. Prepared as an applied research architecture. Not a submitted government policy or statutory instrument.</w:t>
      </w:r>
    </w:p>
    <w:p>
      <w:pPr>
        <w:spacing w:after="60"/>
      </w:pPr>
      <w:r>
        <w:rPr>
          <w:rFonts w:ascii="Calibri" w:hAnsi="Calibri"/>
          <w:b/>
          <w:color w:val="102C57"/>
          <w:sz w:val="32"/>
        </w:rPr>
        <w:t>FUSION-05: Master Civic Accountability, Public Expenditure Tracking &amp; Pro-Poor Governance Architecture</w:t>
      </w:r>
    </w:p>
    <w:p>
      <w:pPr>
        <w:spacing w:after="120"/>
      </w:pPr>
      <w:r>
        <w:rPr>
          <w:rFonts w:ascii="Calibri" w:hAnsi="Calibri"/>
          <w:i/>
          <w:color w:val="323232"/>
          <w:sz w:val="21"/>
        </w:rPr>
        <w:t>Citizen-Led Public Procurement Audits, RTI Digital Toolkits &amp; Under-Trial Prisoner Statutory Bail Monitoring</w:t>
      </w:r>
    </w:p>
    <w:p>
      <w:pPr>
        <w:spacing w:after="240"/>
      </w:pPr>
      <w:r>
        <w:rPr>
          <w:rFonts w:ascii="Calibri" w:hAnsi="Calibri"/>
          <w:b/>
          <w:color w:val="102C57"/>
          <w:sz w:val="18"/>
        </w:rPr>
        <w:t>Target Counterparts: UNDP Democratic Governance / Transparency International Liaison / Federal &amp; Provincial Ombudsmen  •  Normative Frameworks: SDG 16 (Peace, Justice &amp; Strong Institutions), SDG 17 (Partnerships for the Goals)</w:t>
      </w:r>
    </w:p>
    <w:p>
      <w:r>
        <w:rPr>
          <w:rFonts w:ascii="Calibri" w:hAnsi="Calibri"/>
          <w:b/>
          <w:color w:val="102C57"/>
          <w:sz w:val="24"/>
        </w:rPr>
        <w:t>1. EXECUTIVE SUMMARY &amp; POLICY CONTEXT</w:t>
      </w:r>
    </w:p>
    <w:p>
      <w:pPr>
        <w:spacing w:after="200" w:line="276" w:lineRule="auto"/>
      </w:pPr>
      <w:r>
        <w:rPr>
          <w:rFonts w:ascii="Calibri" w:hAnsi="Calibri"/>
          <w:color w:val="323232"/>
          <w:sz w:val="19"/>
        </w:rPr>
        <w:t>This framework empowers citizens and civil society oversight coalitions to hold public institutions accountable through transparent data pipelines. It translates complex government budget 'Pink Books' into plain-language civic briefs, equips community paralegals with Right to Information (RTI) procurement audit kits to expose ghost projects, aggregates municipal service failures onto open-source accountability heatmaps, and tracks indigent under-trial prisoners eligible for statutory bail under criminal procedure rules.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lateral_socio_economic_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7"/>
        </w:rPr>
        <w:t>Figure 1: Quantitative Telemetry &amp; Systems Indicator Model (FUSION-05: Master Civic Accountabil...)</w:t>
      </w:r>
    </w:p>
    <w:p>
      <w:r>
        <w:rPr>
          <w:rFonts w:ascii="Calibri" w:hAnsi="Calibri"/>
          <w:b/>
          <w:color w:val="102C57"/>
          <w:sz w:val="24"/>
        </w:rPr>
        <w:t>2. OPERATIONAL DIMENSIONS (5W + 1H FRAMEWORK)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7632"/>
          </w:tcPr>
          <w:p>
            <w:r>
              <w:rPr>
                <w:b/>
              </w:rPr>
              <w:t>Operational Specification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5040"/>
          </w:tcPr>
          <w:p>
            <w:r>
              <w:t>Open-governance ecosystem combining budget transparency, citizen procurement audits, and judicial monitoring.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5040"/>
          </w:tcPr>
          <w:p>
            <w:r>
              <w:t>Eliminates development budget leakage and structural judicial delays that disproportionately harm indigent citizens.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WHO</w:t>
            </w:r>
          </w:p>
        </w:tc>
        <w:tc>
          <w:tcPr>
            <w:tcW w:type="dxa" w:w="5040"/>
          </w:tcPr>
          <w:p>
            <w:r>
              <w:t>Citizen watchdogs, community investigative researchers, marginalized litigants, and civil society coalitions.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5040"/>
          </w:tcPr>
          <w:p>
            <w:r>
              <w:t>Municipal corporations, district courts, central prisons, and provincial government line departments.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</w:tcPr>
          <w:p>
            <w:r>
              <w:t>Annual budget review cycles and continuous monthly judicial oversight hearings.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HOW</w:t>
            </w:r>
          </w:p>
        </w:tc>
        <w:tc>
          <w:tcPr>
            <w:tcW w:type="dxa" w:w="5040"/>
          </w:tcPr>
          <w:p>
            <w:r>
              <w:t>Open-data budget parsers, statutory RTI filings, community social audits, and pro-bono bail defense.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color w:val="102C57"/>
          <w:sz w:val="24"/>
        </w:rPr>
        <w:t>3. QUANTITATIVE RISK &amp; MULTI-YEAR KPI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Indicator / KPI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Mid-Term (Yr 2)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Final Goal (Yr 5)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Verification Source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RTI Procurement Petitions Resolved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&lt;10%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&gt;65%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&gt;85%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Provincial Information Commission orders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Public Expenditure Leakage Intercepted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$0 Identified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&gt;$4.5M Audited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&gt;$18M Protected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Public Accounts Committee (PAC) evidence briefs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Indigent Under-Trial Prisoners Released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&gt;45% Eligible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&gt;80% Eligible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District &amp; Sessions Court statutory bail dockets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Municipal Grievance Repair Compliance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&lt;20%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&gt;65% SLA Met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&gt;85% SLA Met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Municipal line department digital work orders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Citizen Budget Literacy Engagement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&lt;1,000 People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&gt;50,000 Citizens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&gt;250,000 Citizens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Civic portal downloads and radio reach logs</w:t>
            </w:r>
          </w:p>
        </w:tc>
      </w:tr>
    </w:tbl>
    <w:p>
      <w:pPr>
        <w:spacing w:before="240"/>
      </w:pPr>
      <w:r>
        <w:rPr>
          <w:rFonts w:ascii="Calibri" w:hAnsi="Calibri"/>
          <w:b/>
          <w:color w:val="102C57"/>
          <w:sz w:val="24"/>
        </w:rPr>
        <w:t>4. MULTI-SECTORAL STANDARD OPERATING PROCEDURES (SOPS)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SOP-01: Free, Prior &amp; Informed Community Consent (FPIC): </w:t>
      </w:r>
      <w:r>
        <w:t>Mandatory structured rural appraisals conducted in local vernaculars, engaging village elders and women's committees to guarantee community ownership.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SOP-02: Zero-Tolerance Safeguarding &amp; PSEA Enforcement: </w:t>
      </w:r>
      <w:r>
        <w:t>Immediate escalation protocols for Protection from Sexual Exploitation and Abuse (PSEA) adhering to Inter-Agency Standing Committee (IASC) global standards.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SOP-03: Transparent Financial &amp; Public Procurement Integrity: </w:t>
      </w:r>
      <w:r>
        <w:t>Dual-signoff disbursement protocols, competitive tendering conforming to Public Procurement Regulatory Authority (PPRA) rules, and on-site public financial notice boards.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