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D52B1E"/>
          <w:sz w:val="18"/>
          <w:spacing w:val="50"/>
        </w:rPr>
        <w:t>BUZATU · MILLER FAMILY</w:t>
      </w:r>
    </w:p>
    <w:p>
      <w:pPr>
        <w:pStyle w:val="Title"/>
      </w:pPr>
      <w:r>
        <w:t>Briefing: The Swiss Cloud Debate</w:t>
      </w:r>
    </w:p>
    <w:p>
      <w:pPr>
        <w:pStyle w:val="Subtitle"/>
      </w:pPr>
      <w:r>
        <w:t>Prepared for the family</w:t>
      </w:r>
    </w:p>
    <w:p>
      <w:pPr>
        <w:spacing w:after="280"/>
        <w:pBdr>
          <w:bottom w:val="single" w:sz="18" w:space="8" w:color="2A6A98"/>
        </w:pBdr>
      </w:pPr>
      <w:r>
        <w:rPr>
          <w:color w:val="6B7785"/>
          <w:sz w:val="19"/>
        </w:rPr>
        <w:t>Prepared by Anne-Marie · 21 October 2026</w:t>
      </w:r>
    </w:p>
    <w:p>
      <w:pPr>
        <w:pStyle w:val="Heading2"/>
      </w:pPr>
      <w:r>
        <w:t>Summary</w:t>
      </w:r>
    </w:p>
    <w:p>
      <w:pPr>
        <w:pStyle w:val="ListBullet"/>
      </w:pPr>
      <w:r>
        <w:t xml:space="preserve">Switzerland is debating whether public bodies should buy </w:t>
      </w:r>
      <w:r>
        <w:rPr>
          <w:b/>
        </w:rPr>
        <w:t>cloud services</w:t>
      </w:r>
      <w:r>
        <w:t xml:space="preserve"> from US providers or from Swiss companies.</w:t>
      </w:r>
    </w:p>
    <w:p>
      <w:pPr>
        <w:pStyle w:val="ListBullet"/>
      </w:pPr>
      <w:r>
        <w:t xml:space="preserve">The federal IT tender is worth about </w:t>
      </w:r>
      <w:r>
        <w:rPr>
          <w:i/>
        </w:rPr>
        <w:t>CHF 7 billion</w:t>
      </w:r>
      <w:r>
        <w:t>.</w:t>
      </w:r>
    </w:p>
    <w:p>
      <w:pPr>
        <w:pStyle w:val="ListBullet2"/>
      </w:pPr>
      <w:r>
        <w:t xml:space="preserve">Sub-point one with a </w:t>
      </w:r>
      <w:hyperlink r:id="rId12">
        <w:r>
          <w:rPr>
            <w:color w:val="2A6A98"/>
            <w:u w:val="single"/>
          </w:rPr>
          <w:t xml:space="preserve">link</w:t>
        </w:r>
      </w:hyperlink>
      <w:r>
        <w:t>.</w:t>
      </w:r>
    </w:p>
    <w:p>
      <w:pPr>
        <w:pStyle w:val="ListBullet2"/>
      </w:pPr>
      <w:r>
        <w:t>Sub-point two.</w:t>
      </w:r>
    </w:p>
    <w:p>
      <w:pPr>
        <w:pStyle w:val="ListBullet"/>
      </w:pPr>
      <w:r>
        <w:t>A decision is expected in 2027.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10" w:type="dxa"/>
          <w:left w:w="220" w:type="dxa"/>
          <w:bottom w:w="110" w:type="dxa"/>
          <w:right w:w="180" w:type="dxa"/>
        </w:tblCellMar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EAF1F7"/>
            <w:tcBorders>
              <w:top w:val="nil"/>
              <w:left w:val="single" w:sz="36" w:color="2A6A98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22"/>
              </w:rPr>
              <w:t>Key takeaway:</w:t>
            </w:r>
            <w:r>
              <w:rPr>
                <w:sz w:val="22"/>
              </w:rPr>
              <w:t xml:space="preserve"> Sovereignty and cost pull in opposite directions, and no option is free of trade-offs.</w:t>
            </w:r>
          </w:p>
        </w:tc>
      </w:tr>
    </w:tbl>
    <w:p>
      <w:pPr>
        <w:spacing w:after="0" w:before="0" w:line="160" w:lineRule="exact"/>
      </w:pPr>
      <w:r>
        <w:rPr>
          <w:sz w:val="12"/>
        </w:rPr>
      </w:r>
    </w:p>
    <w:p>
      <w:pPr>
        <w:pStyle w:val="Heading2"/>
      </w:pPr>
      <w:r>
        <w:t>Options compared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6E2"/>
          <w:left w:val="nil"/>
          <w:bottom w:val="single" w:sz="4" w:color="C9D6E2"/>
          <w:right w:val="nil"/>
          <w:insideH w:val="single" w:sz="4" w:color="C9D6E2"/>
          <w:insideV w:val="nil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1415"/>
            <w:shd w:val="clear" w:color="auto" w:fill="2A6A98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Option</w:t>
            </w:r>
          </w:p>
        </w:tc>
        <w:tc>
          <w:tcPr>
            <w:tcW w:type="dxa" w:w="2830"/>
            <w:shd w:val="clear" w:color="auto" w:fill="2A6A98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Provider type</w:t>
            </w:r>
          </w:p>
        </w:tc>
        <w:tc>
          <w:tcPr>
            <w:tcW w:type="dxa" w:w="2426"/>
            <w:shd w:val="clear" w:color="auto" w:fill="2A6A98"/>
          </w:tcPr>
          <w:p>
            <w:pPr>
              <w:spacing w:after="0" w:line="264" w:lineRule="auto"/>
              <w:jc w:val="right"/>
            </w:pPr>
            <w:r>
              <w:rPr>
                <w:b/>
                <w:color w:val="FFFFFF"/>
                <w:sz w:val="21"/>
              </w:rPr>
              <w:t>Cost (CHF m)</w:t>
            </w:r>
          </w:p>
        </w:tc>
        <w:tc>
          <w:tcPr>
            <w:tcW w:type="dxa" w:w="2628"/>
            <w:shd w:val="clear" w:color="auto" w:fill="2A6A98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Data location</w:t>
            </w:r>
          </w:p>
        </w:tc>
      </w:tr>
      <w:tr>
        <w:trPr>
          <w:cantSplit/>
        </w:trPr>
        <w:tc>
          <w:tcPr>
            <w:tcW w:type="dxa" w:w="1415"/>
          </w:tcPr>
          <w:p>
            <w:pPr>
              <w:spacing w:after="0" w:line="264" w:lineRule="auto"/>
            </w:pPr>
            <w:r>
              <w:rPr>
                <w:sz w:val="21"/>
              </w:rPr>
              <w:t>A</w:t>
            </w:r>
          </w:p>
        </w:tc>
        <w:tc>
          <w:tcPr>
            <w:tcW w:type="dxa" w:w="2830"/>
          </w:tcPr>
          <w:p>
            <w:pPr>
              <w:spacing w:after="0" w:line="264" w:lineRule="auto"/>
            </w:pPr>
            <w:r>
              <w:rPr>
                <w:sz w:val="21"/>
              </w:rPr>
              <w:t>US hyperscaler</w:t>
            </w:r>
          </w:p>
        </w:tc>
        <w:tc>
          <w:tcPr>
            <w:tcW w:type="dxa" w:w="2426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1,200</w:t>
            </w:r>
          </w:p>
        </w:tc>
        <w:tc>
          <w:tcPr>
            <w:tcW w:type="dxa" w:w="262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EU/US</w:t>
            </w:r>
          </w:p>
        </w:tc>
      </w:tr>
      <w:tr>
        <w:trPr>
          <w:cantSplit/>
        </w:trPr>
        <w:tc>
          <w:tcPr>
            <w:tcW w:type="dxa" w:w="1415"/>
            <w:shd w:val="clear" w:color="auto" w:fill="F4F8FB"/>
          </w:tcPr>
          <w:p>
            <w:pPr>
              <w:spacing w:after="0" w:line="264" w:lineRule="auto"/>
            </w:pPr>
            <w:r>
              <w:rPr>
                <w:sz w:val="21"/>
              </w:rPr>
              <w:t>B</w:t>
            </w:r>
          </w:p>
        </w:tc>
        <w:tc>
          <w:tcPr>
            <w:tcW w:type="dxa" w:w="2830"/>
            <w:shd w:val="clear" w:color="auto" w:fill="F4F8FB"/>
          </w:tcPr>
          <w:p>
            <w:pPr>
              <w:spacing w:after="0" w:line="264" w:lineRule="auto"/>
            </w:pPr>
            <w:r>
              <w:rPr>
                <w:sz w:val="21"/>
              </w:rPr>
              <w:t>Swiss provider</w:t>
            </w:r>
          </w:p>
        </w:tc>
        <w:tc>
          <w:tcPr>
            <w:tcW w:type="dxa" w:w="2426"/>
            <w:shd w:val="clear" w:color="auto" w:fill="F4F8FB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1,650</w:t>
            </w:r>
          </w:p>
        </w:tc>
        <w:tc>
          <w:tcPr>
            <w:tcW w:type="dxa" w:w="2628"/>
            <w:shd w:val="clear" w:color="auto" w:fill="F4F8FB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Switzerland</w:t>
            </w:r>
          </w:p>
        </w:tc>
      </w:tr>
      <w:tr>
        <w:trPr>
          <w:cantSplit/>
        </w:trPr>
        <w:tc>
          <w:tcPr>
            <w:tcW w:type="dxa" w:w="1415"/>
          </w:tcPr>
          <w:p>
            <w:pPr>
              <w:spacing w:after="0" w:line="264" w:lineRule="auto"/>
            </w:pPr>
            <w:r>
              <w:rPr>
                <w:sz w:val="21"/>
              </w:rPr>
              <w:t>C</w:t>
            </w:r>
          </w:p>
        </w:tc>
        <w:tc>
          <w:tcPr>
            <w:tcW w:type="dxa" w:w="2830"/>
          </w:tcPr>
          <w:p>
            <w:pPr>
              <w:spacing w:after="0" w:line="264" w:lineRule="auto"/>
            </w:pPr>
            <w:r>
              <w:rPr>
                <w:sz w:val="21"/>
              </w:rPr>
              <w:t>Hybrid</w:t>
            </w:r>
          </w:p>
        </w:tc>
        <w:tc>
          <w:tcPr>
            <w:tcW w:type="dxa" w:w="2426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1,400</w:t>
            </w:r>
          </w:p>
        </w:tc>
        <w:tc>
          <w:tcPr>
            <w:tcW w:type="dxa" w:w="262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Mixed</w:t>
            </w:r>
          </w:p>
        </w:tc>
      </w:tr>
      <w:tr>
        <w:trPr>
          <w:cantSplit/>
        </w:trPr>
        <w:tc>
          <w:tcPr>
            <w:tcW w:type="dxa" w:w="1415"/>
            <w:shd w:val="clear" w:color="auto" w:fill="F4F8FB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Total</w:t>
            </w:r>
          </w:p>
        </w:tc>
        <w:tc>
          <w:tcPr>
            <w:tcW w:type="dxa" w:w="2830"/>
            <w:shd w:val="clear" w:color="auto" w:fill="F4F8FB"/>
          </w:tcPr>
          <w:p>
            <w:pPr>
              <w:spacing w:after="0" w:line="264" w:lineRule="auto"/>
            </w:pPr>
          </w:p>
        </w:tc>
        <w:tc>
          <w:tcPr>
            <w:tcW w:type="dxa" w:w="2426"/>
            <w:shd w:val="clear" w:color="auto" w:fill="F4F8FB"/>
          </w:tcPr>
          <w:p>
            <w:pPr>
              <w:spacing w:after="0" w:line="264" w:lineRule="auto"/>
              <w:jc w:val="right"/>
            </w:pPr>
            <w:r>
              <w:rPr>
                <w:sz w:val="21"/>
              </w:rPr>
              <w:t>4,250</w:t>
            </w:r>
          </w:p>
        </w:tc>
        <w:tc>
          <w:tcPr>
            <w:tcW w:type="dxa" w:w="2628"/>
            <w:shd w:val="clear" w:color="auto" w:fill="F4F8FB"/>
          </w:tcPr>
          <w:p>
            <w:pPr>
              <w:spacing w:after="0" w:line="264" w:lineRule="auto"/>
              <w:jc w:val="center"/>
            </w:pPr>
          </w:p>
        </w:tc>
      </w:tr>
    </w:tbl>
    <w:p>
      <w:pPr>
        <w:spacing w:after="0" w:before="0" w:line="200" w:lineRule="exact"/>
      </w:pPr>
      <w:r>
        <w:rPr>
          <w:sz w:val="16"/>
        </w:rPr>
      </w:r>
    </w:p>
    <w:p>
      <w:pPr>
        <w:pStyle w:val="Heading3"/>
      </w:pPr>
      <w:r>
        <w:t>Risks</w:t>
      </w:r>
    </w:p>
    <w:p>
      <w:pPr>
        <w:tabs>
          <w:tab w:pos="510" w:val="left"/>
        </w:tabs>
        <w:spacing w:after="60"/>
        <w:ind w:left="510" w:hanging="340"/>
      </w:pPr>
      <w:r>
        <w:rPr>
          <w:b/>
          <w:color w:val="2A6A98"/>
        </w:rPr>
        <w:t>1.</w:t>
        <w:tab/>
      </w:r>
      <w:r>
        <w:t>Vendor lock-in.</w:t>
      </w:r>
    </w:p>
    <w:p>
      <w:pPr>
        <w:tabs>
          <w:tab w:pos="510" w:val="left"/>
        </w:tabs>
        <w:spacing w:after="60"/>
        <w:ind w:left="510" w:hanging="340"/>
      </w:pPr>
      <w:r>
        <w:rPr>
          <w:b/>
          <w:color w:val="2A6A98"/>
        </w:rPr>
        <w:t>2.</w:t>
        <w:tab/>
      </w:r>
      <w:r>
        <w:t>Legal exposure under foreign law.</w:t>
      </w:r>
    </w:p>
    <w:p>
      <w:pPr>
        <w:tabs>
          <w:tab w:pos="510" w:val="left"/>
        </w:tabs>
        <w:spacing w:after="60"/>
        <w:ind w:left="510" w:hanging="340"/>
      </w:pPr>
      <w:r>
        <w:rPr>
          <w:b/>
          <w:color w:val="2A6A98"/>
        </w:rPr>
        <w:t>3.</w:t>
        <w:tab/>
      </w:r>
      <w:r>
        <w:t>Capacity of Swiss providers.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10" w:type="dxa"/>
          <w:left w:w="220" w:type="dxa"/>
          <w:bottom w:w="110" w:type="dxa"/>
          <w:right w:w="180" w:type="dxa"/>
        </w:tblCellMar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DF1E7"/>
            <w:tcBorders>
              <w:top w:val="nil"/>
              <w:left w:val="single" w:sz="36" w:color="E07B1F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2"/>
              </w:rPr>
              <w:t>Warning: figures are early estimates and may change.</w:t>
            </w:r>
          </w:p>
        </w:tc>
      </w:tr>
    </w:tbl>
    <w:p>
      <w:pPr>
        <w:spacing w:after="0" w:before="0" w:line="160" w:lineRule="exact"/>
      </w:pPr>
      <w:r>
        <w:rPr>
          <w:sz w:val="12"/>
        </w:rPr>
      </w:r>
    </w:p>
    <w:p>
      <w:pPr>
        <w:spacing w:after="120"/>
        <w:pBdr>
          <w:bottom w:val="single" w:sz="6" w:space="1" w:color="C9D6E2"/>
        </w:pBdr>
      </w:pPr>
    </w:p>
    <w:p>
      <w:pPr>
        <w:pStyle w:val="Heading2"/>
      </w:pPr>
      <w:r>
        <w:t>Sources</w:t>
      </w:r>
    </w:p>
    <w:p>
      <w:pPr>
        <w:pStyle w:val="ListBullet"/>
      </w:pPr>
      <w:hyperlink r:id="rId13">
        <w:r>
          <w:rPr>
            <w:color w:val="2A6A98"/>
            <w:u w:val="single"/>
          </w:rPr>
          <w:t xml:space="preserve">Federal Chancellery</w:t>
        </w:r>
      </w:hyperlink>
    </w:p>
    <w:p>
      <w:pPr>
        <w:pStyle w:val="ListBullet"/>
      </w:pPr>
      <w:r>
        <w:rPr>
          <w:rFonts w:ascii="Consolas" w:hAnsi="Consolas" w:eastAsia="Consolas"/>
          <w:color w:val="9A2B20"/>
          <w:sz w:val="20"/>
          <w:shd w:val="clear" w:color="auto" w:fill="F1F3F5"/>
        </w:rPr>
        <w:t>inline code</w:t>
      </w:r>
      <w:r>
        <w:t xml:space="preserve"> works too</w:t>
      </w:r>
    </w:p>
    <w:p>
      <w:pPr>
        <w:spacing w:after="0"/>
        <w:ind w:left="170"/>
        <w:shd w:val="clear" w:color="auto" w:fill="F1F3F5"/>
      </w:pPr>
      <w:r>
        <w:rPr>
          <w:rFonts w:ascii="Consolas" w:hAnsi="Consolas" w:eastAsia="Consolas"/>
          <w:sz w:val="19"/>
        </w:rPr>
        <w:t>code block line</w:t>
      </w:r>
    </w:p>
    <w:p>
      <w:pPr>
        <w:spacing w:after="0" w:before="0" w:line="120" w:lineRule="exact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247" w:right="1304" w:bottom="1134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320" w:val="clear"/>
        <w:tab w:pos="4680" w:val="clear"/>
        <w:tab w:pos="8640" w:val="clear"/>
        <w:tab w:pos="9298" w:val="right"/>
        <w:tab w:pos="9360" w:val="clear"/>
      </w:tabs>
      <w:pBdr>
        <w:top w:val="single" w:sz="4" w:space="6" w:color="C9D6E2"/>
      </w:pBdr>
    </w:pPr>
    <w:r>
      <w:rPr>
        <w:color w:val="6B7785"/>
        <w:sz w:val="17"/>
      </w:rPr>
      <w:t>Buzatu · Miller family</w:t>
    </w:r>
    <w:r>
      <w:rPr>
        <w:color w:val="6B7785"/>
        <w:sz w:val="17"/>
      </w:rPr>
      <w:tab/>
      <w:t xml:space="preserve">Page </w:t>
    </w:r>
    <w:r>
      <w:rPr>
        <w:color w:val="6B7785"/>
        <w:sz w:val="17"/>
      </w:rPr>
      <w:fldChar w:fldCharType="begin"/>
    </w:r>
    <w:r>
      <w:rPr>
        <w:color w:val="6B7785"/>
        <w:sz w:val="17"/>
      </w:rPr>
      <w:instrText xml:space="preserve"> PAGE </w:instrText>
    </w:r>
    <w:r>
      <w:rPr>
        <w:color w:val="6B7785"/>
        <w:sz w:val="17"/>
      </w:rPr>
      <w:fldChar w:fldCharType="separate"/>
    </w:r>
    <w:r>
      <w:rPr>
        <w:color w:val="6B7785"/>
        <w:sz w:val="17"/>
      </w:rPr>
      <w:t>1</w:t>
    </w:r>
    <w:r>
      <w:rPr>
        <w:color w:val="6B7785"/>
        <w:sz w:val="17"/>
      </w:rPr>
      <w:fldChar w:fldCharType="end"/>
    </w:r>
    <w:r>
      <w:rPr>
        <w:color w:val="6B7785"/>
        <w:sz w:val="17"/>
      </w:rPr>
      <w:t xml:space="preserve"> of </w:t>
    </w:r>
    <w:r>
      <w:rPr>
        <w:color w:val="6B7785"/>
        <w:sz w:val="17"/>
      </w:rPr>
      <w:fldChar w:fldCharType="begin"/>
    </w:r>
    <w:r>
      <w:rPr>
        <w:color w:val="6B7785"/>
        <w:sz w:val="17"/>
      </w:rPr>
      <w:instrText xml:space="preserve"> NUMPAGES </w:instrText>
    </w:r>
    <w:r>
      <w:rPr>
        <w:color w:val="6B7785"/>
        <w:sz w:val="17"/>
      </w:rPr>
      <w:fldChar w:fldCharType="separate"/>
    </w:r>
    <w:r>
      <w:rPr>
        <w:color w:val="6B7785"/>
        <w:sz w:val="17"/>
      </w:rPr>
      <w:t>1</w:t>
    </w:r>
    <w:r>
      <w:rPr>
        <w:color w:val="6B7785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320" w:val="clear"/>
        <w:tab w:pos="4680" w:val="clear"/>
        <w:tab w:pos="8640" w:val="clear"/>
        <w:tab w:pos="9298" w:val="right"/>
        <w:tab w:pos="9360" w:val="clear"/>
      </w:tabs>
      <w:pBdr>
        <w:top w:val="single" w:sz="4" w:space="6" w:color="C9D6E2"/>
      </w:pBdr>
    </w:pPr>
    <w:r>
      <w:rPr>
        <w:color w:val="6B7785"/>
        <w:sz w:val="17"/>
      </w:rPr>
      <w:t>Buzatu · Miller family</w:t>
    </w:r>
    <w:r>
      <w:rPr>
        <w:color w:val="6B7785"/>
        <w:sz w:val="17"/>
      </w:rPr>
      <w:tab/>
      <w:t xml:space="preserve">Page </w:t>
    </w:r>
    <w:r>
      <w:rPr>
        <w:color w:val="6B7785"/>
        <w:sz w:val="17"/>
      </w:rPr>
      <w:fldChar w:fldCharType="begin"/>
    </w:r>
    <w:r>
      <w:rPr>
        <w:color w:val="6B7785"/>
        <w:sz w:val="17"/>
      </w:rPr>
      <w:instrText xml:space="preserve"> PAGE </w:instrText>
    </w:r>
    <w:r>
      <w:rPr>
        <w:color w:val="6B7785"/>
        <w:sz w:val="17"/>
      </w:rPr>
      <w:fldChar w:fldCharType="separate"/>
    </w:r>
    <w:r>
      <w:rPr>
        <w:color w:val="6B7785"/>
        <w:sz w:val="17"/>
      </w:rPr>
      <w:t>1</w:t>
    </w:r>
    <w:r>
      <w:rPr>
        <w:color w:val="6B7785"/>
        <w:sz w:val="17"/>
      </w:rPr>
      <w:fldChar w:fldCharType="end"/>
    </w:r>
    <w:r>
      <w:rPr>
        <w:color w:val="6B7785"/>
        <w:sz w:val="17"/>
      </w:rPr>
      <w:t xml:space="preserve"> of </w:t>
    </w:r>
    <w:r>
      <w:rPr>
        <w:color w:val="6B7785"/>
        <w:sz w:val="17"/>
      </w:rPr>
      <w:fldChar w:fldCharType="begin"/>
    </w:r>
    <w:r>
      <w:rPr>
        <w:color w:val="6B7785"/>
        <w:sz w:val="17"/>
      </w:rPr>
      <w:instrText xml:space="preserve"> NUMPAGES </w:instrText>
    </w:r>
    <w:r>
      <w:rPr>
        <w:color w:val="6B7785"/>
        <w:sz w:val="17"/>
      </w:rPr>
      <w:fldChar w:fldCharType="separate"/>
    </w:r>
    <w:r>
      <w:rPr>
        <w:color w:val="6B7785"/>
        <w:sz w:val="17"/>
      </w:rPr>
      <w:t>1</w:t>
    </w:r>
    <w:r>
      <w:rPr>
        <w:color w:val="6B7785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785"/>
        <w:sz w:val="17"/>
      </w:rPr>
      <w:t>Briefing: The Swiss Cloud Debate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 w:eastAsia="Calibri" w:cs="Calibri"/>
      <w:color w:val="1F2A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/>
      <w:outlineLvl w:val="0"/>
    </w:pPr>
    <w:rPr>
      <w:rFonts w:ascii="Georgia" w:hAnsi="Georgia" w:eastAsia="Georgia" w:cs="Georgia"/>
      <w:b/>
      <w:bCs/>
      <w:i w:val="0"/>
      <w:color w:val="2A6A9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Georgia" w:hAnsi="Georgia" w:eastAsia="Georgia" w:cs="Georgia"/>
      <w:b/>
      <w:bCs/>
      <w:i w:val="0"/>
      <w:color w:val="2A6A9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="Calibri" w:hAnsi="Calibri" w:eastAsia="Calibri" w:cs="Calibri"/>
      <w:b/>
      <w:bCs/>
      <w:i w:val="0"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Georgia" w:hAnsi="Georgia" w:eastAsia="Georgia" w:cs="Georgia"/>
      <w:b/>
      <w:color w:val="1F2A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Calibri" w:hAnsi="Calibri" w:eastAsia="Calibri" w:cs="Calibri"/>
      <w:b w:val="0"/>
      <w:i w:val="0"/>
      <w:iCs/>
      <w:color w:val="6B7785"/>
      <w:spacing w:val="15"/>
      <w:sz w:val="2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color w:val="1F2A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color w:val="1F2A37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libri" w:hAnsi="Calibri" w:eastAsia="Calibri" w:cs="Calibri"/>
      <w:color w:val="1F2A37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www.admin.ch" TargetMode="External"/><Relationship Id="rId13" Type="http://schemas.openxmlformats.org/officeDocument/2006/relationships/hyperlink" Target="https://www.bk.admin.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Briefing: The Swiss Cloud Debate</dc:title>
  <dc:subject>Created with the family AI hub</dc:subject>
  <dc:creator>Anne-Marie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