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2400" w:hRule="exact"/>
        </w:trPr>
        <w:tc>
          <w:tcPr>
            <w:tcBorders>
              <w:top w:val="none"/>
              <w:left w:val="none"/>
              <w:bottom w:val="none"/>
              <w:right w:val="none"/>
            </w:tcBorders>
            <w:shd w:fill="032D60" w:val="clear"/>
            <w:vAlign w:val="center"/>
          </w:tcPr>
          <w:p>
            <w:pPr>
              <w:spacing w:after="60" w:before="200"/>
              <w:jc w:val="center"/>
            </w:pPr>
            <w:r>
              <w:rPr>
                <w:rFonts w:ascii="Calibri" w:cs="Calibri" w:eastAsia="Calibri" w:hAnsi="Calibri"/>
                <w:b/>
                <w:bCs/>
                <w:color w:val="00A1E0"/>
                <w:sz w:val="36"/>
                <w:szCs w:val="36"/>
              </w:rPr>
              <w:t xml:space="preserve">SALESFORCE APEX</w:t>
            </w:r>
          </w:p>
          <w:p>
            <w:pPr>
              <w:spacing w:after="60" w:before="0"/>
              <w:jc w:val="center"/>
            </w:pPr>
            <w:r>
              <w:rPr>
                <w:rFonts w:ascii="Calibri" w:cs="Calibri" w:eastAsia="Calibri" w:hAnsi="Calibri"/>
                <w:b/>
                <w:bCs/>
                <w:color w:val="FFFFFF"/>
                <w:sz w:val="52"/>
                <w:szCs w:val="52"/>
              </w:rPr>
              <w:t xml:space="preserve">TRAINING ASSIGNMENT</w:t>
            </w:r>
          </w:p>
          <w:p>
            <w:pPr>
              <w:spacing w:after="200" w:before="60"/>
              <w:jc w:val="center"/>
            </w:pPr>
            <w:r>
              <w:rPr>
                <w:rFonts w:ascii="Calibri" w:cs="Calibri" w:eastAsia="Calibri" w:hAnsi="Calibri"/>
                <w:color w:val="EAF1FB"/>
                <w:sz w:val="22"/>
                <w:szCs w:val="22"/>
              </w:rPr>
              <w:t xml:space="preserve">Task 05  ·  Opportunity Currency Conversion Integration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00"/>
      </w:tblGrid>
      <w:tr>
        <w:trPr>
          <w:trHeight w:val="120" w:hRule="exact"/>
        </w:trPr>
        <w:tc>
          <w:tcPr>
            <w:tcBorders>
              <w:top w:val="none"/>
              <w:left w:val="none"/>
              <w:bottom w:val="none"/>
              <w:right w:val="none"/>
            </w:tcBorders>
            <w:shd w:fill="0070D2" w:val="clear"/>
          </w:tcPr>
          <w:p>
            <w:r>
              <w:t xml:space="preserve"/>
            </w:r>
          </w:p>
        </w:tc>
        <w:tc>
          <w:tcPr>
            <w:tcBorders>
              <w:top w:val="none"/>
              <w:left w:val="none"/>
              <w:bottom w:val="none"/>
              <w:right w:val="none"/>
            </w:tcBorders>
            <w:shd w:fill="00A1E0" w:val="clear"/>
          </w:tcPr>
          <w:p>
            <w:r>
              <w:t xml:space="preserve"/>
            </w:r>
          </w:p>
        </w:tc>
        <w:tc>
          <w:tcPr>
            <w:tcBorders>
              <w:top w:val="none"/>
              <w:left w:val="none"/>
              <w:bottom w:val="none"/>
              <w:right w:val="none"/>
            </w:tcBorders>
            <w:shd w:fill="0070D2" w:val="clear"/>
          </w:tcPr>
          <w:p>
            <w:r>
              <w:t xml:space="preserve"/>
            </w:r>
          </w:p>
        </w:tc>
      </w:tr>
    </w:tbl>
    <w:p>
      <w:pPr>
        <w:spacing w:after="0" w:before="3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none"/>
              <w:left w:val="none"/>
              <w:bottom w:val="single" w:color="E5E5E5" w:sz="4"/>
              <w:right w:val="none"/>
            </w:tcBorders>
            <w:shd w:fill="EAF1FB" w:val="clear"/>
          </w:tcPr>
          <w:p>
            <w:pPr>
              <w:spacing w:after="100" w:before="100"/>
              <w:ind w:left="120"/>
            </w:pPr>
            <w:r>
              <w:rPr>
                <w:rFonts w:ascii="Calibri" w:cs="Calibri" w:eastAsia="Calibri" w:hAnsi="Calibri"/>
                <w:b/>
                <w:bCs/>
                <w:color w:val="032D60"/>
                <w:sz w:val="18"/>
                <w:szCs w:val="18"/>
              </w:rPr>
              <w:t xml:space="preserve">Organization</w:t>
            </w:r>
          </w:p>
        </w:tc>
        <w:tc>
          <w:tcPr>
            <w:tcW w:type="dxa" w:w="6800"/>
            <w:tcBorders>
              <w:top w:val="none"/>
              <w:left w:val="none"/>
              <w:bottom w:val="single" w:color="E5E5E5" w:sz="4"/>
              <w:right w:val="none"/>
            </w:tcBorders>
            <w:shd w:fill="EAF1FB" w:val="clear"/>
          </w:tcPr>
          <w:p>
            <w:pPr>
              <w:spacing w:after="100" w:before="100"/>
              <w:ind w:left="120"/>
            </w:pPr>
            <w:r>
              <w:rPr>
                <w:rFonts w:ascii="Calibri" w:cs="Calibri" w:eastAsia="Calibri" w:hAnsi="Calibri"/>
                <w:color w:val="3E3E3C"/>
                <w:sz w:val="18"/>
                <w:szCs w:val="18"/>
              </w:rPr>
              <w:t xml:space="preserve">BJIT Limited — Salesforce Centre of Excellence</w:t>
            </w:r>
          </w:p>
        </w:tc>
      </w:tr>
      <w:tr>
        <w:tc>
          <w:tcPr>
            <w:tcW w:type="dxa" w:w="2200"/>
            <w:tcBorders>
              <w:top w:val="none"/>
              <w:left w:val="none"/>
              <w:bottom w:val="single" w:color="E5E5E5" w:sz="4"/>
              <w:right w:val="none"/>
            </w:tcBorders>
            <w:shd w:fill="F8FAFB" w:val="clear"/>
          </w:tcPr>
          <w:p>
            <w:pPr>
              <w:spacing w:after="100" w:before="100"/>
              <w:ind w:left="120"/>
            </w:pPr>
            <w:r>
              <w:rPr>
                <w:rFonts w:ascii="Calibri" w:cs="Calibri" w:eastAsia="Calibri" w:hAnsi="Calibri"/>
                <w:b/>
                <w:bCs/>
                <w:color w:val="032D60"/>
                <w:sz w:val="18"/>
                <w:szCs w:val="18"/>
              </w:rPr>
              <w:t xml:space="preserve">Assignment</w:t>
            </w:r>
          </w:p>
        </w:tc>
        <w:tc>
          <w:tcPr>
            <w:tcW w:type="dxa" w:w="6800"/>
            <w:tcBorders>
              <w:top w:val="none"/>
              <w:left w:val="none"/>
              <w:bottom w:val="single" w:color="E5E5E5" w:sz="4"/>
              <w:right w:val="none"/>
            </w:tcBorders>
            <w:shd w:fill="F8FAFB" w:val="clear"/>
          </w:tcPr>
          <w:p>
            <w:pPr>
              <w:spacing w:after="100" w:before="100"/>
              <w:ind w:left="120"/>
            </w:pPr>
            <w:r>
              <w:rPr>
                <w:rFonts w:ascii="Calibri" w:cs="Calibri" w:eastAsia="Calibri" w:hAnsi="Calibri"/>
                <w:color w:val="3E3E3C"/>
                <w:sz w:val="18"/>
                <w:szCs w:val="18"/>
              </w:rPr>
              <w:t xml:space="preserve">Task-05</w:t>
            </w:r>
          </w:p>
        </w:tc>
      </w:tr>
      <w:tr>
        <w:tc>
          <w:tcPr>
            <w:tcW w:type="dxa" w:w="2200"/>
            <w:tcBorders>
              <w:top w:val="none"/>
              <w:left w:val="none"/>
              <w:bottom w:val="single" w:color="E5E5E5" w:sz="4"/>
              <w:right w:val="none"/>
            </w:tcBorders>
            <w:shd w:fill="EAF1FB" w:val="clear"/>
          </w:tcPr>
          <w:p>
            <w:pPr>
              <w:spacing w:after="100" w:before="100"/>
              <w:ind w:left="120"/>
            </w:pPr>
            <w:r>
              <w:rPr>
                <w:rFonts w:ascii="Calibri" w:cs="Calibri" w:eastAsia="Calibri" w:hAnsi="Calibri"/>
                <w:b/>
                <w:bCs/>
                <w:color w:val="032D60"/>
                <w:sz w:val="18"/>
                <w:szCs w:val="18"/>
              </w:rPr>
              <w:t xml:space="preserve">Category</w:t>
            </w:r>
          </w:p>
        </w:tc>
        <w:tc>
          <w:tcPr>
            <w:tcW w:type="dxa" w:w="6800"/>
            <w:tcBorders>
              <w:top w:val="none"/>
              <w:left w:val="none"/>
              <w:bottom w:val="single" w:color="E5E5E5" w:sz="4"/>
              <w:right w:val="none"/>
            </w:tcBorders>
            <w:shd w:fill="EAF1FB" w:val="clear"/>
          </w:tcPr>
          <w:p>
            <w:pPr>
              <w:spacing w:after="100" w:before="100"/>
              <w:ind w:left="120"/>
            </w:pPr>
            <w:r>
              <w:rPr>
                <w:rFonts w:ascii="Calibri" w:cs="Calibri" w:eastAsia="Calibri" w:hAnsi="Calibri"/>
                <w:color w:val="3E3E3C"/>
                <w:sz w:val="18"/>
                <w:szCs w:val="18"/>
              </w:rPr>
              <w:t xml:space="preserve">Apex Development · External Integration · Bulk Processing</w:t>
            </w:r>
          </w:p>
        </w:tc>
      </w:tr>
      <w:tr>
        <w:tc>
          <w:tcPr>
            <w:tcW w:type="dxa" w:w="2200"/>
            <w:tcBorders>
              <w:top w:val="none"/>
              <w:left w:val="none"/>
              <w:bottom w:val="single" w:color="E5E5E5" w:sz="4"/>
              <w:right w:val="none"/>
            </w:tcBorders>
            <w:shd w:fill="F8FAFB" w:val="clear"/>
          </w:tcPr>
          <w:p>
            <w:pPr>
              <w:spacing w:after="100" w:before="100"/>
              <w:ind w:left="120"/>
            </w:pPr>
            <w:r>
              <w:rPr>
                <w:rFonts w:ascii="Calibri" w:cs="Calibri" w:eastAsia="Calibri" w:hAnsi="Calibri"/>
                <w:b/>
                <w:bCs/>
                <w:color w:val="032D60"/>
                <w:sz w:val="18"/>
                <w:szCs w:val="18"/>
              </w:rPr>
              <w:t xml:space="preserve">Difficulty</w:t>
            </w:r>
          </w:p>
        </w:tc>
        <w:tc>
          <w:tcPr>
            <w:tcW w:type="dxa" w:w="6800"/>
            <w:tcBorders>
              <w:top w:val="none"/>
              <w:left w:val="none"/>
              <w:bottom w:val="single" w:color="E5E5E5" w:sz="4"/>
              <w:right w:val="none"/>
            </w:tcBorders>
            <w:shd w:fill="F8FAFB" w:val="clear"/>
          </w:tcPr>
          <w:p>
            <w:pPr>
              <w:spacing w:after="100" w:before="100"/>
              <w:ind w:left="120"/>
            </w:pPr>
            <w:r>
              <w:rPr>
                <w:rFonts w:ascii="Calibri" w:cs="Calibri" w:eastAsia="Calibri" w:hAnsi="Calibri"/>
                <w:color w:val="3E3E3C"/>
                <w:sz w:val="18"/>
                <w:szCs w:val="18"/>
              </w:rPr>
              <w:t xml:space="preserve">Advanced</w:t>
            </w:r>
          </w:p>
        </w:tc>
      </w:tr>
      <w:tr>
        <w:tc>
          <w:tcPr>
            <w:tcW w:type="dxa" w:w="2200"/>
            <w:tcBorders>
              <w:top w:val="none"/>
              <w:left w:val="none"/>
              <w:bottom w:val="single" w:color="E5E5E5" w:sz="4"/>
              <w:right w:val="none"/>
            </w:tcBorders>
            <w:shd w:fill="EAF1FB" w:val="clear"/>
          </w:tcPr>
          <w:p>
            <w:pPr>
              <w:spacing w:after="100" w:before="100"/>
              <w:ind w:left="120"/>
            </w:pPr>
            <w:r>
              <w:rPr>
                <w:rFonts w:ascii="Calibri" w:cs="Calibri" w:eastAsia="Calibri" w:hAnsi="Calibri"/>
                <w:b/>
                <w:bCs/>
                <w:color w:val="032D60"/>
                <w:sz w:val="18"/>
                <w:szCs w:val="18"/>
              </w:rPr>
              <w:t xml:space="preserve">Issued</w:t>
            </w:r>
          </w:p>
        </w:tc>
        <w:tc>
          <w:tcPr>
            <w:tcW w:type="dxa" w:w="6800"/>
            <w:tcBorders>
              <w:top w:val="none"/>
              <w:left w:val="none"/>
              <w:bottom w:val="single" w:color="E5E5E5" w:sz="4"/>
              <w:right w:val="none"/>
            </w:tcBorders>
            <w:shd w:fill="EAF1FB" w:val="clear"/>
          </w:tcPr>
          <w:p>
            <w:pPr>
              <w:spacing w:after="100" w:before="100"/>
              <w:ind w:left="120"/>
            </w:pPr>
            <w:r>
              <w:rPr>
                <w:rFonts w:ascii="Calibri" w:cs="Calibri" w:eastAsia="Calibri" w:hAnsi="Calibri"/>
                <w:color w:val="3E3E3C"/>
                <w:sz w:val="18"/>
                <w:szCs w:val="18"/>
              </w:rPr>
              <w:t xml:space="preserve">September 2026</w:t>
            </w:r>
          </w:p>
        </w:tc>
      </w:tr>
    </w:tbl>
    <w:p>
      <w:pPr>
        <w:spacing w:after="0" w:before="200"/>
      </w:pPr>
      <w:r>
        <w:t xml:space="preserve"/>
      </w:r>
    </w:p>
    <w:p>
      <w:pPr>
        <w:pBdr>
          <w:bottom w:val="single" w:color="0070D2" w:sz="4" w:space="1"/>
        </w:pBdr>
        <w:spacing w:after="160" w:before="160"/>
      </w:pPr>
      <w:r>
        <w:t xml:space="preserve"/>
      </w:r>
    </w:p>
    <w:p>
      <w:pPr>
        <w:spacing w:after="100" w:before="280"/>
      </w:pPr>
      <w:r>
        <w:rPr>
          <w:rFonts w:ascii="Calibri" w:cs="Calibri" w:eastAsia="Calibri" w:hAnsi="Calibri"/>
          <w:b/>
          <w:bCs/>
          <w:color w:val="0070D2"/>
          <w:sz w:val="28"/>
          <w:szCs w:val="28"/>
        </w:rPr>
        <w:t xml:space="preserve">Background</w:t>
      </w:r>
    </w:p>
    <w:p>
      <w:pPr>
        <w:spacing w:after="80" w:before="60"/>
        <w:jc w:val="left"/>
      </w:pPr>
      <w:r>
        <w:rPr>
          <w:rFonts w:ascii="Calibri" w:cs="Calibri" w:eastAsia="Calibri" w:hAnsi="Calibri"/>
          <w:color w:val="3E3E3C"/>
          <w:sz w:val="20"/>
          <w:szCs w:val="20"/>
        </w:rPr>
        <w:t xml:space="preserve">All Opportunity Amount values in the Salesforce environment are maintained in Bangladeshi Taka (BDT). Users sometimes need to view the approximate Opportunity value in another currency. To support this requirement, Salesforce must integrate with ExchangeRate-API and retrieve the latest currency exchange rate.</w:t>
      </w:r>
    </w:p>
    <w:p>
      <w:pPr>
        <w:spacing w:after="0" w:before="80"/>
      </w:pPr>
      <w:r>
        <w:t xml:space="preserve"/>
      </w:r>
    </w:p>
    <w:p>
      <w:pPr>
        <w:spacing w:after="80" w:before="60"/>
        <w:jc w:val="left"/>
      </w:pPr>
      <w:r>
        <w:rPr>
          <w:rFonts w:ascii="Calibri" w:cs="Calibri" w:eastAsia="Calibri" w:hAnsi="Calibri"/>
          <w:color w:val="3E3E3C"/>
          <w:sz w:val="20"/>
          <w:szCs w:val="20"/>
        </w:rPr>
        <w:t xml:space="preserve">Approximately </w:t>
      </w:r>
      <w:r>
        <w:rPr>
          <w:rFonts w:ascii="Calibri" w:cs="Calibri" w:eastAsia="Calibri" w:hAnsi="Calibri"/>
          <w:b/>
          <w:bCs/>
          <w:color w:val="0070D2"/>
          <w:sz w:val="20"/>
          <w:szCs w:val="20"/>
        </w:rPr>
        <w:t xml:space="preserve">500 Opportunity records</w:t>
      </w:r>
      <w:r>
        <w:rPr>
          <w:rFonts w:ascii="Calibri" w:cs="Calibri" w:eastAsia="Calibri" w:hAnsi="Calibri"/>
          <w:color w:val="3E3E3C"/>
          <w:sz w:val="20"/>
          <w:szCs w:val="20"/>
        </w:rPr>
        <w:t xml:space="preserve"> will be available in the environment. Each Opportunity will contain an </w:t>
      </w:r>
      <w:r>
        <w:rPr>
          <w:rFonts w:ascii="Calibri" w:cs="Calibri" w:eastAsia="Calibri" w:hAnsi="Calibri"/>
          <w:b/>
          <w:bCs/>
          <w:color w:val="0070D2"/>
          <w:sz w:val="20"/>
          <w:szCs w:val="20"/>
        </w:rPr>
        <w:t xml:space="preserve">Expected Currency Type</w:t>
      </w:r>
      <w:r>
        <w:rPr>
          <w:rFonts w:ascii="Calibri" w:cs="Calibri" w:eastAsia="Calibri" w:hAnsi="Calibri"/>
          <w:color w:val="3E3E3C"/>
          <w:sz w:val="20"/>
          <w:szCs w:val="20"/>
        </w:rPr>
        <w:t xml:space="preserve"> field indicating the currency the user wants to see.</w:t>
      </w:r>
    </w:p>
    <w:p>
      <w:pPr>
        <w:spacing w:after="0" w:before="80"/>
      </w:pPr>
      <w:r>
        <w:t xml:space="preserve"/>
      </w:r>
    </w:p>
    <w:p>
      <w:pPr>
        <w:spacing w:after="80" w:before="60"/>
        <w:jc w:val="left"/>
      </w:pPr>
      <w:r>
        <w:rPr>
          <w:rFonts w:ascii="Calibri" w:cs="Calibri" w:eastAsia="Calibri" w:hAnsi="Calibri"/>
          <w:b/>
          <w:bCs/>
          <w:color w:val="032D60"/>
          <w:sz w:val="20"/>
          <w:szCs w:val="20"/>
        </w:rPr>
        <w:t xml:space="preserve">Supported target currencies:  </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Currency Code</w:t>
            </w:r>
          </w:p>
        </w:tc>
        <w:tc>
          <w:tcPr>
            <w:tcW w:type="dxa" w:w="7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Currency Name</w:t>
            </w:r>
          </w:p>
        </w:tc>
      </w:tr>
      <w:tr>
        <w:trPr>
          <w:tblHeader w:val="false"/>
        </w:trPr>
        <w:tc>
          <w:tcPr>
            <w:tcW w:type="dxa" w:w="2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c>
          <w:tcPr>
            <w:tcW w:type="dxa" w:w="7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US Dollar</w:t>
            </w:r>
          </w:p>
        </w:tc>
      </w:tr>
      <w:tr>
        <w:trPr>
          <w:tblHeader w:val="false"/>
        </w:trPr>
        <w:tc>
          <w:tcPr>
            <w:tcW w:type="dxa" w:w="2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EUR</w:t>
            </w:r>
          </w:p>
        </w:tc>
        <w:tc>
          <w:tcPr>
            <w:tcW w:type="dxa" w:w="7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Euro</w:t>
            </w:r>
          </w:p>
        </w:tc>
      </w:tr>
      <w:tr>
        <w:trPr>
          <w:tblHeader w:val="false"/>
        </w:trPr>
        <w:tc>
          <w:tcPr>
            <w:tcW w:type="dxa" w:w="2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GBP</w:t>
            </w:r>
          </w:p>
        </w:tc>
        <w:tc>
          <w:tcPr>
            <w:tcW w:type="dxa" w:w="7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British Pound</w:t>
            </w:r>
          </w:p>
        </w:tc>
      </w:tr>
      <w:tr>
        <w:trPr>
          <w:tblHeader w:val="false"/>
        </w:trPr>
        <w:tc>
          <w:tcPr>
            <w:tcW w:type="dxa" w:w="2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JPY</w:t>
            </w:r>
          </w:p>
        </w:tc>
        <w:tc>
          <w:tcPr>
            <w:tcW w:type="dxa" w:w="7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Japanese Yen</w:t>
            </w:r>
          </w:p>
        </w:tc>
      </w:tr>
      <w:tr>
        <w:trPr>
          <w:tblHeader w:val="false"/>
        </w:trPr>
        <w:tc>
          <w:tcPr>
            <w:tcW w:type="dxa" w:w="2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AUD</w:t>
            </w:r>
          </w:p>
        </w:tc>
        <w:tc>
          <w:tcPr>
            <w:tcW w:type="dxa" w:w="7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Australian Dollar</w:t>
            </w:r>
          </w:p>
        </w:tc>
      </w:tr>
      <w:tr>
        <w:trPr>
          <w:tblHeader w:val="false"/>
        </w:trPr>
        <w:tc>
          <w:tcPr>
            <w:tcW w:type="dxa" w:w="2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CAD</w:t>
            </w:r>
          </w:p>
        </w:tc>
        <w:tc>
          <w:tcPr>
            <w:tcW w:type="dxa" w:w="7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Canadian Dollar</w:t>
            </w:r>
          </w:p>
        </w:tc>
      </w:tr>
    </w:tbl>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01</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Opportunity Currency Information</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Create the following custom fields on the Opportunity object:</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Field Label</w:t>
            </w:r>
          </w:p>
        </w:tc>
        <w:tc>
          <w:tcPr>
            <w:tcW w:type="dxa" w:w="2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Field Type</w:t>
            </w:r>
          </w:p>
        </w:tc>
        <w:tc>
          <w:tcPr>
            <w:tcW w:type="dxa" w:w="46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Description</w:t>
            </w:r>
          </w:p>
        </w:tc>
      </w:tr>
      <w:tr>
        <w:trPr>
          <w:tblHeader w:val="false"/>
        </w:trPr>
        <w:tc>
          <w:tcPr>
            <w:tcW w:type="dxa" w:w="24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Expected Currency Type</w:t>
            </w:r>
          </w:p>
        </w:tc>
        <w:tc>
          <w:tcPr>
            <w:tcW w:type="dxa" w:w="2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Text</w:t>
            </w:r>
          </w:p>
        </w:tc>
        <w:tc>
          <w:tcPr>
            <w:tcW w:type="dxa" w:w="46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Currency code requested by the user (USD, EUR, JPY, etc.)</w:t>
            </w:r>
          </w:p>
        </w:tc>
      </w:tr>
      <w:tr>
        <w:trPr>
          <w:tblHeader w:val="false"/>
        </w:trPr>
        <w:tc>
          <w:tcPr>
            <w:tcW w:type="dxa" w:w="24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Expected Currency Amount</w:t>
            </w:r>
          </w:p>
        </w:tc>
        <w:tc>
          <w:tcPr>
            <w:tcW w:type="dxa" w:w="2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Currency / Number</w:t>
            </w:r>
          </w:p>
        </w:tc>
        <w:tc>
          <w:tcPr>
            <w:tcW w:type="dxa" w:w="46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Converted Opportunity Amount in the target currency</w:t>
            </w:r>
          </w:p>
        </w:tc>
      </w:tr>
      <w:tr>
        <w:trPr>
          <w:tblHeader w:val="false"/>
        </w:trPr>
        <w:tc>
          <w:tcPr>
            <w:tcW w:type="dxa" w:w="24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Exchange Rate</w:t>
            </w:r>
          </w:p>
        </w:tc>
        <w:tc>
          <w:tcPr>
            <w:tcW w:type="dxa" w:w="2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Number</w:t>
            </w:r>
          </w:p>
        </w:tc>
        <w:tc>
          <w:tcPr>
            <w:tcW w:type="dxa" w:w="46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Exchange rate used for the conversion calculation</w:t>
            </w:r>
          </w:p>
        </w:tc>
      </w:tr>
      <w:tr>
        <w:trPr>
          <w:tblHeader w:val="false"/>
        </w:trPr>
        <w:tc>
          <w:tcPr>
            <w:tcW w:type="dxa" w:w="24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Currency Last Updated</w:t>
            </w:r>
          </w:p>
        </w:tc>
        <w:tc>
          <w:tcPr>
            <w:tcW w:type="dxa" w:w="2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Date/Time</w:t>
            </w:r>
          </w:p>
        </w:tc>
        <w:tc>
          <w:tcPr>
            <w:tcW w:type="dxa" w:w="46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Date and time when the conversion was last successfully updated</w:t>
            </w:r>
          </w:p>
        </w:tc>
      </w:tr>
      <w:tr>
        <w:trPr>
          <w:tblHeader w:val="false"/>
        </w:trPr>
        <w:tc>
          <w:tcPr>
            <w:tcW w:type="dxa" w:w="24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Currency Update Status</w:t>
            </w:r>
          </w:p>
        </w:tc>
        <w:tc>
          <w:tcPr>
            <w:tcW w:type="dxa" w:w="2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Picklist / Text</w:t>
            </w:r>
          </w:p>
        </w:tc>
        <w:tc>
          <w:tcPr>
            <w:tcW w:type="dxa" w:w="46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Processing status (Pending, Success, Failed)</w:t>
            </w:r>
          </w:p>
        </w:tc>
      </w:tr>
      <w:tr>
        <w:trPr>
          <w:tblHeader w:val="false"/>
        </w:trPr>
        <w:tc>
          <w:tcPr>
            <w:tcW w:type="dxa" w:w="24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Currency Error Message</w:t>
            </w:r>
          </w:p>
        </w:tc>
        <w:tc>
          <w:tcPr>
            <w:tcW w:type="dxa" w:w="2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Long Text Area</w:t>
            </w:r>
          </w:p>
        </w:tc>
        <w:tc>
          <w:tcPr>
            <w:tcW w:type="dxa" w:w="46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Error details captured when conversion fails</w:t>
            </w:r>
          </w:p>
        </w:tc>
      </w:tr>
    </w:tbl>
    <w:p>
      <w:pPr>
        <w:spacing w:after="0" w:before="120"/>
      </w:pPr>
      <w:r>
        <w:t xml:space="preserve"/>
      </w:r>
    </w:p>
    <w:p>
      <w:pPr>
        <w:spacing w:after="80" w:before="60"/>
        <w:jc w:val="left"/>
      </w:pPr>
      <w:r>
        <w:rPr>
          <w:rFonts w:ascii="Calibri" w:cs="Calibri" w:eastAsia="Calibri" w:hAnsi="Calibri"/>
          <w:b/>
          <w:bCs/>
          <w:color w:val="032D60"/>
          <w:sz w:val="18"/>
          <w:szCs w:val="18"/>
        </w:rPr>
        <w:t xml:space="preserve">Example Opportunity record after configuration: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Field</w:t>
            </w:r>
          </w:p>
        </w:tc>
        <w:tc>
          <w:tcPr>
            <w:tcW w:type="dxa" w:w="5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Value</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Opportunity Name</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Global Software Deal</w:t>
            </w:r>
          </w:p>
        </w:tc>
      </w:tr>
      <w:tr>
        <w:trPr>
          <w:tblHeader w:val="false"/>
        </w:trPr>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Amount</w:t>
            </w:r>
          </w:p>
        </w:tc>
        <w:tc>
          <w:tcPr>
            <w:tcW w:type="dxa" w:w="5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1,000,000 BDT</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Expected Currency Type</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r>
      <w:tr>
        <w:trPr>
          <w:tblHeader w:val="false"/>
        </w:trPr>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Expected Currency Amount</w:t>
            </w:r>
          </w:p>
        </w:tc>
        <w:tc>
          <w:tcPr>
            <w:tcW w:type="dxa" w:w="5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Blank (to be populated)</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Exchange Rate</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Blank (to be populated)</w:t>
            </w:r>
          </w:p>
        </w:tc>
      </w:tr>
      <w:tr>
        <w:trPr>
          <w:tblHeader w:val="false"/>
        </w:trPr>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Currency Update Status</w:t>
            </w:r>
          </w:p>
        </w:tc>
        <w:tc>
          <w:tcPr>
            <w:tcW w:type="dxa" w:w="5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Pending</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70D2" w:sz="12"/>
              <w:left w:val="thick" w:color="0070D2" w:sz="18"/>
              <w:bottom w:val="single" w:color="0070D2" w:sz="12"/>
              <w:right w:val="single" w:color="0070D2" w:sz="4"/>
            </w:tcBorders>
            <w:shd w:fill="EAF1FB" w:val="clear"/>
          </w:tcPr>
          <w:p>
            <w:pPr>
              <w:spacing w:after="60" w:before="60"/>
            </w:pPr>
            <w:r>
              <w:rPr>
                <w:rFonts w:ascii="Calibri" w:cs="Calibri" w:eastAsia="Calibri" w:hAnsi="Calibri"/>
                <w:b/>
                <w:bCs/>
                <w:color w:val="0070D2"/>
                <w:sz w:val="18"/>
                <w:szCs w:val="18"/>
              </w:rPr>
              <w:t xml:space="preserve">Important</w:t>
            </w:r>
          </w:p>
          <w:p>
            <w:pPr>
              <w:spacing w:after="40" w:before="40"/>
            </w:pPr>
            <w:r>
              <w:rPr>
                <w:rFonts w:ascii="Calibri" w:cs="Calibri" w:eastAsia="Calibri" w:hAnsi="Calibri"/>
                <w:color w:val="3E3E3C"/>
                <w:sz w:val="18"/>
                <w:szCs w:val="18"/>
              </w:rPr>
              <w:t xml:space="preserve">The standard Opportunity Amount must always remain in BDT. Only the Expected Currency Amount field should reflect the converted value.</w:t>
            </w:r>
          </w:p>
        </w:tc>
      </w:tr>
    </w:tbl>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02</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Retrieve Exchange Rate</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Use </w:t>
      </w:r>
      <w:r>
        <w:rPr>
          <w:rFonts w:ascii="Calibri" w:cs="Calibri" w:eastAsia="Calibri" w:hAnsi="Calibri"/>
          <w:b/>
          <w:bCs/>
          <w:color w:val="0070D2"/>
          <w:sz w:val="20"/>
          <w:szCs w:val="20"/>
        </w:rPr>
        <w:t xml:space="preserve">ExchangeRate-API</w:t>
      </w:r>
      <w:r>
        <w:rPr>
          <w:rFonts w:ascii="Calibri" w:cs="Calibri" w:eastAsia="Calibri" w:hAnsi="Calibri"/>
          <w:color w:val="3E3E3C"/>
          <w:sz w:val="20"/>
          <w:szCs w:val="20"/>
        </w:rPr>
        <w:t xml:space="preserve"> to retrieve the latest exchange rate. The Base Currency will always be </w:t>
      </w:r>
      <w:r>
        <w:rPr>
          <w:rFonts w:ascii="Courier New" w:cs="Courier New" w:eastAsia="Courier New" w:hAnsi="Courier New"/>
          <w:b/>
          <w:bCs/>
          <w:color w:val="032D60"/>
          <w:sz w:val="20"/>
          <w:szCs w:val="20"/>
        </w:rPr>
        <w:t xml:space="preserve">BDT</w:t>
      </w:r>
      <w:r>
        <w:rPr>
          <w:rFonts w:ascii="Calibri" w:cs="Calibri" w:eastAsia="Calibri" w:hAnsi="Calibri"/>
          <w:color w:val="3E3E3C"/>
          <w:sz w:val="20"/>
          <w:szCs w:val="20"/>
        </w:rPr>
        <w:t xml:space="preserve">. The Target Currency is determined from the </w:t>
      </w:r>
      <w:r>
        <w:rPr>
          <w:rFonts w:ascii="Courier New" w:cs="Courier New" w:eastAsia="Courier New" w:hAnsi="Courier New"/>
          <w:color w:val="032D60"/>
          <w:sz w:val="20"/>
          <w:szCs w:val="20"/>
        </w:rPr>
        <w:t xml:space="preserve">Expected Currency Type</w:t>
      </w:r>
      <w:r>
        <w:rPr>
          <w:rFonts w:ascii="Calibri" w:cs="Calibri" w:eastAsia="Calibri" w:hAnsi="Calibri"/>
          <w:color w:val="3E3E3C"/>
          <w:sz w:val="20"/>
          <w:szCs w:val="20"/>
        </w:rPr>
        <w:t xml:space="preserve"> field on each Opportunity.</w:t>
      </w:r>
    </w:p>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70D2" w:sz="8"/>
              <w:left w:val="thick" w:color="0070D2" w:sz="24"/>
              <w:bottom w:val="single" w:color="0070D2" w:sz="8"/>
              <w:right w:val="single" w:color="0070D2" w:sz="4"/>
            </w:tcBorders>
            <w:shd w:fill="EAF1FB" w:val="clear"/>
          </w:tcPr>
          <w:p>
            <w:pPr>
              <w:spacing w:after="60" w:before="60"/>
              <w:ind w:left="160"/>
            </w:pPr>
            <w:r>
              <w:rPr>
                <w:rFonts w:ascii="Courier New" w:cs="Courier New" w:eastAsia="Courier New" w:hAnsi="Courier New"/>
                <w:b/>
                <w:bCs/>
                <w:color w:val="032D60"/>
                <w:sz w:val="20"/>
                <w:szCs w:val="20"/>
              </w:rPr>
              <w:t xml:space="preserve">API Target:  BDT  →  {Expected Currency Type}</w:t>
            </w:r>
          </w:p>
          <w:p>
            <w:pPr>
              <w:spacing w:after="60" w:before="60"/>
              <w:ind w:left="160"/>
            </w:pPr>
            <w:r>
              <w:rPr>
                <w:rFonts w:ascii="Courier New" w:cs="Courier New" w:eastAsia="Courier New" w:hAnsi="Courier New"/>
                <w:b/>
                <w:bCs/>
                <w:color w:val="032D60"/>
                <w:sz w:val="20"/>
                <w:szCs w:val="20"/>
              </w:rPr>
              <w:t xml:space="preserve"/>
            </w:r>
          </w:p>
          <w:p>
            <w:pPr>
              <w:spacing w:after="60" w:before="60"/>
              <w:ind w:left="160"/>
            </w:pPr>
            <w:r>
              <w:rPr>
                <w:rFonts w:ascii="Courier New" w:cs="Courier New" w:eastAsia="Courier New" w:hAnsi="Courier New"/>
                <w:b/>
                <w:bCs/>
                <w:color w:val="032D60"/>
                <w:sz w:val="20"/>
                <w:szCs w:val="20"/>
              </w:rPr>
              <w:t xml:space="preserve">Example 1:  Expected Currency Type = USD  →  Retrieve BDT → USD</w:t>
            </w:r>
          </w:p>
          <w:p>
            <w:pPr>
              <w:spacing w:after="60" w:before="60"/>
              <w:ind w:left="160"/>
            </w:pPr>
            <w:r>
              <w:rPr>
                <w:rFonts w:ascii="Courier New" w:cs="Courier New" w:eastAsia="Courier New" w:hAnsi="Courier New"/>
                <w:b/>
                <w:bCs/>
                <w:color w:val="032D60"/>
                <w:sz w:val="20"/>
                <w:szCs w:val="20"/>
              </w:rPr>
              <w:t xml:space="preserve">Example 2:  Expected Currency Type = JPY  →  Retrieve BDT → JPY</w:t>
            </w:r>
          </w:p>
        </w:tc>
      </w:tr>
    </w:tbl>
    <w:p>
      <w:pPr>
        <w:spacing w:after="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45309" w:sz="12"/>
              <w:left w:val="thick" w:color="B45309" w:sz="18"/>
              <w:bottom w:val="single" w:color="B45309" w:sz="12"/>
              <w:right w:val="single" w:color="B45309" w:sz="4"/>
            </w:tcBorders>
            <w:shd w:fill="FFFBEA" w:val="clear"/>
          </w:tcPr>
          <w:p>
            <w:pPr>
              <w:spacing w:after="60" w:before="60"/>
            </w:pPr>
            <w:r>
              <w:rPr>
                <w:rFonts w:ascii="Calibri" w:cs="Calibri" w:eastAsia="Calibri" w:hAnsi="Calibri"/>
                <w:b/>
                <w:bCs/>
                <w:color w:val="B45309"/>
                <w:sz w:val="18"/>
                <w:szCs w:val="18"/>
              </w:rPr>
              <w:t xml:space="preserve">Security Requirements</w:t>
            </w:r>
          </w:p>
          <w:p>
            <w:pPr>
              <w:spacing w:after="40" w:before="40"/>
            </w:pPr>
            <w:r>
              <w:rPr>
                <w:rFonts w:ascii="Calibri" w:cs="Calibri" w:eastAsia="Calibri" w:hAnsi="Calibri"/>
                <w:color w:val="3E3E3C"/>
                <w:sz w:val="18"/>
                <w:szCs w:val="18"/>
              </w:rPr>
              <w:t xml:space="preserve">• The external API connection and API key must be configured securely.</w:t>
            </w:r>
          </w:p>
          <w:p>
            <w:pPr>
              <w:spacing w:after="40" w:before="40"/>
            </w:pPr>
            <w:r>
              <w:rPr>
                <w:rFonts w:ascii="Calibri" w:cs="Calibri" w:eastAsia="Calibri" w:hAnsi="Calibri"/>
                <w:color w:val="3E3E3C"/>
                <w:sz w:val="18"/>
                <w:szCs w:val="18"/>
              </w:rPr>
              <w:t xml:space="preserve">• The API key must NOT be hardcoded inside Apex code.</w:t>
            </w:r>
          </w:p>
          <w:p>
            <w:pPr>
              <w:spacing w:after="40" w:before="40"/>
            </w:pPr>
            <w:r>
              <w:rPr>
                <w:rFonts w:ascii="Calibri" w:cs="Calibri" w:eastAsia="Calibri" w:hAnsi="Calibri"/>
                <w:color w:val="3E3E3C"/>
                <w:sz w:val="18"/>
                <w:szCs w:val="18"/>
              </w:rPr>
              <w:t xml:space="preserve">• Use Named Credentials or Custom Settings/Custom Metadata for secure key storage.</w:t>
            </w:r>
          </w:p>
        </w:tc>
      </w:tr>
    </w:tbl>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03</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Calculate Expected Currency Amount</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After retrieving the exchange rate, calculate the expected Opportunity value using the following formula:</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70D2" w:sz="8"/>
              <w:left w:val="thick" w:color="0070D2" w:sz="24"/>
              <w:bottom w:val="single" w:color="0070D2" w:sz="8"/>
              <w:right w:val="single" w:color="0070D2" w:sz="4"/>
            </w:tcBorders>
            <w:shd w:fill="EAF1FB" w:val="clear"/>
          </w:tcPr>
          <w:p>
            <w:pPr>
              <w:spacing w:after="60" w:before="60"/>
              <w:ind w:left="160"/>
            </w:pPr>
            <w:r>
              <w:rPr>
                <w:rFonts w:ascii="Courier New" w:cs="Courier New" w:eastAsia="Courier New" w:hAnsi="Courier New"/>
                <w:b/>
                <w:bCs/>
                <w:color w:val="032D60"/>
                <w:sz w:val="20"/>
                <w:szCs w:val="20"/>
              </w:rPr>
              <w:t xml:space="preserve">Expected Currency Amount  =  Opportunity Amount  ×  Exchange Rate</w:t>
            </w:r>
          </w:p>
          <w:p>
            <w:pPr>
              <w:spacing w:after="60" w:before="60"/>
              <w:ind w:left="160"/>
            </w:pPr>
            <w:r>
              <w:rPr>
                <w:rFonts w:ascii="Courier New" w:cs="Courier New" w:eastAsia="Courier New" w:hAnsi="Courier New"/>
                <w:b/>
                <w:bCs/>
                <w:color w:val="032D60"/>
                <w:sz w:val="20"/>
                <w:szCs w:val="20"/>
              </w:rPr>
              <w:t xml:space="preserve"/>
            </w:r>
          </w:p>
          <w:p>
            <w:pPr>
              <w:spacing w:after="60" w:before="60"/>
              <w:ind w:left="160"/>
            </w:pPr>
            <w:r>
              <w:rPr>
                <w:rFonts w:ascii="Courier New" w:cs="Courier New" w:eastAsia="Courier New" w:hAnsi="Courier New"/>
                <w:b/>
                <w:bCs/>
                <w:color w:val="032D60"/>
                <w:sz w:val="20"/>
                <w:szCs w:val="20"/>
              </w:rPr>
              <w:t xml:space="preserve">Example:</w:t>
            </w:r>
          </w:p>
          <w:p>
            <w:pPr>
              <w:spacing w:after="60" w:before="60"/>
              <w:ind w:left="160"/>
            </w:pPr>
            <w:r>
              <w:rPr>
                <w:rFonts w:ascii="Courier New" w:cs="Courier New" w:eastAsia="Courier New" w:hAnsi="Courier New"/>
                <w:b/>
                <w:bCs/>
                <w:color w:val="032D60"/>
                <w:sz w:val="20"/>
                <w:szCs w:val="20"/>
              </w:rPr>
              <w:t xml:space="preserve">  Opportunity Amount  =  1,000,000 BDT</w:t>
            </w:r>
          </w:p>
          <w:p>
            <w:pPr>
              <w:spacing w:after="60" w:before="60"/>
              <w:ind w:left="160"/>
            </w:pPr>
            <w:r>
              <w:rPr>
                <w:rFonts w:ascii="Courier New" w:cs="Courier New" w:eastAsia="Courier New" w:hAnsi="Courier New"/>
                <w:b/>
                <w:bCs/>
                <w:color w:val="032D60"/>
                <w:sz w:val="20"/>
                <w:szCs w:val="20"/>
              </w:rPr>
              <w:t xml:space="preserve">  Exchange Rate       =  0.0082 (BDT → USD)</w:t>
            </w:r>
          </w:p>
          <w:p>
            <w:pPr>
              <w:spacing w:after="60" w:before="60"/>
              <w:ind w:left="160"/>
            </w:pPr>
            <w:r>
              <w:rPr>
                <w:rFonts w:ascii="Courier New" w:cs="Courier New" w:eastAsia="Courier New" w:hAnsi="Courier New"/>
                <w:b/>
                <w:bCs/>
                <w:color w:val="032D60"/>
                <w:sz w:val="20"/>
                <w:szCs w:val="20"/>
              </w:rPr>
              <w:t xml:space="preserve">  Expected Amount     =  8,200 USD</w:t>
            </w:r>
          </w:p>
        </w:tc>
      </w:tr>
    </w:tbl>
    <w:p>
      <w:pPr>
        <w:spacing w:after="0" w:before="120"/>
      </w:pPr>
      <w:r>
        <w:t xml:space="preserve"/>
      </w:r>
    </w:p>
    <w:p>
      <w:pPr>
        <w:spacing w:after="80" w:before="60"/>
        <w:jc w:val="left"/>
      </w:pPr>
      <w:r>
        <w:rPr>
          <w:rFonts w:ascii="Calibri" w:cs="Calibri" w:eastAsia="Calibri" w:hAnsi="Calibri"/>
          <w:b/>
          <w:bCs/>
          <w:color w:val="032D60"/>
          <w:sz w:val="20"/>
          <w:szCs w:val="20"/>
        </w:rPr>
        <w:t xml:space="preserve">After successful processing, update the following fields: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Field</w:t>
            </w:r>
          </w:p>
        </w:tc>
        <w:tc>
          <w:tcPr>
            <w:tcW w:type="dxa" w:w="3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Before Processing</w:t>
            </w:r>
          </w:p>
        </w:tc>
        <w:tc>
          <w:tcPr>
            <w:tcW w:type="dxa" w:w="3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After Processing</w:t>
            </w:r>
          </w:p>
        </w:tc>
      </w:tr>
      <w:tr>
        <w:trPr>
          <w:tblHeader w:val="false"/>
        </w:trPr>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Amount</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1,000,000 BDT</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1,000,000 BDT  (unchanged)</w:t>
            </w:r>
          </w:p>
        </w:tc>
      </w:tr>
      <w:tr>
        <w:trPr>
          <w:tblHeader w:val="false"/>
        </w:trPr>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Expected Currency Type</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r>
      <w:tr>
        <w:trPr>
          <w:tblHeader w:val="false"/>
        </w:trPr>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Exchange Rate</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Blank</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0.0082</w:t>
            </w:r>
          </w:p>
        </w:tc>
      </w:tr>
      <w:tr>
        <w:trPr>
          <w:tblHeader w:val="false"/>
        </w:trPr>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Expected Currency Amount</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Blank</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8,200</w:t>
            </w:r>
          </w:p>
        </w:tc>
      </w:tr>
      <w:tr>
        <w:trPr>
          <w:tblHeader w:val="false"/>
        </w:trPr>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Currency Update Status</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Pending</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Success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12"/>
              <w:left w:val="thick" w:color="C0392B" w:sz="18"/>
              <w:bottom w:val="single" w:color="C0392B" w:sz="12"/>
              <w:right w:val="single" w:color="C0392B" w:sz="4"/>
            </w:tcBorders>
            <w:shd w:fill="FDECEA" w:val="clear"/>
          </w:tcPr>
          <w:p>
            <w:pPr>
              <w:spacing w:after="60" w:before="60"/>
            </w:pPr>
            <w:r>
              <w:rPr>
                <w:rFonts w:ascii="Calibri" w:cs="Calibri" w:eastAsia="Calibri" w:hAnsi="Calibri"/>
                <w:b/>
                <w:bCs/>
                <w:color w:val="C0392B"/>
                <w:sz w:val="18"/>
                <w:szCs w:val="18"/>
              </w:rPr>
              <w:t xml:space="preserve">Constraint</w:t>
            </w:r>
          </w:p>
          <w:p>
            <w:pPr>
              <w:spacing w:after="40" w:before="40"/>
            </w:pPr>
            <w:r>
              <w:rPr>
                <w:rFonts w:ascii="Calibri" w:cs="Calibri" w:eastAsia="Calibri" w:hAnsi="Calibri"/>
                <w:color w:val="3E3E3C"/>
                <w:sz w:val="18"/>
                <w:szCs w:val="18"/>
              </w:rPr>
              <w:t xml:space="preserve">The original Opportunity Amount (BDT) must never be modified by this process.</w:t>
            </w:r>
          </w:p>
        </w:tc>
      </w:tr>
    </w:tbl>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04</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Process Existing Opportunities</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Approximately </w:t>
      </w:r>
      <w:r>
        <w:rPr>
          <w:rFonts w:ascii="Calibri" w:cs="Calibri" w:eastAsia="Calibri" w:hAnsi="Calibri"/>
          <w:b/>
          <w:bCs/>
          <w:color w:val="0070D2"/>
          <w:sz w:val="20"/>
          <w:szCs w:val="20"/>
        </w:rPr>
        <w:t xml:space="preserve">500 Opportunities</w:t>
      </w:r>
      <w:r>
        <w:rPr>
          <w:rFonts w:ascii="Calibri" w:cs="Calibri" w:eastAsia="Calibri" w:hAnsi="Calibri"/>
          <w:color w:val="3E3E3C"/>
          <w:sz w:val="20"/>
          <w:szCs w:val="20"/>
        </w:rPr>
        <w:t xml:space="preserve"> are available in the Salesforce environment. Each may contain a different Expected Currency Type. The solution must process the complete dataset without exceeding Salesforce governor limits or external API quota limits.</w:t>
      </w:r>
    </w:p>
    <w:p>
      <w:pPr>
        <w:spacing w:after="0" w:before="100"/>
      </w:pPr>
      <w:r>
        <w:t xml:space="preserve"/>
      </w:r>
    </w:p>
    <w:p>
      <w:pPr>
        <w:spacing w:after="80" w:before="60"/>
        <w:jc w:val="left"/>
      </w:pPr>
      <w:r>
        <w:rPr>
          <w:rFonts w:ascii="Calibri" w:cs="Calibri" w:eastAsia="Calibri" w:hAnsi="Calibri"/>
          <w:b/>
          <w:bCs/>
          <w:color w:val="032D60"/>
          <w:sz w:val="18"/>
          <w:szCs w:val="18"/>
        </w:rPr>
        <w:t xml:space="preserve">Sample dataset structure: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Opportunity</w:t>
            </w:r>
          </w:p>
        </w:tc>
        <w:tc>
          <w:tcPr>
            <w:tcW w:type="dxa" w:w="3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Amount (BDT)</w:t>
            </w:r>
          </w:p>
        </w:tc>
        <w:tc>
          <w:tcPr>
            <w:tcW w:type="dxa" w:w="3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Expected Currency Type</w:t>
            </w:r>
          </w:p>
        </w:tc>
      </w:tr>
      <w:tr>
        <w:trPr>
          <w:tblHeader w:val="false"/>
        </w:trPr>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Opportunity A</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1,000,000</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r>
      <w:tr>
        <w:trPr>
          <w:tblHeader w:val="false"/>
        </w:trPr>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Opportunity B</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2,500,000</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r>
      <w:tr>
        <w:trPr>
          <w:tblHeader w:val="false"/>
        </w:trPr>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Opportunity C</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800,000</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EUR</w:t>
            </w:r>
          </w:p>
        </w:tc>
      </w:tr>
      <w:tr>
        <w:trPr>
          <w:tblHeader w:val="false"/>
        </w:trPr>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Opportunity D</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5,000,000</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JPY</w:t>
            </w:r>
          </w:p>
        </w:tc>
      </w:tr>
      <w:tr>
        <w:trPr>
          <w:tblHeader w:val="false"/>
        </w:trPr>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Opportunity E</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3,200,000</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GBP</w:t>
            </w:r>
          </w:p>
        </w:tc>
      </w:tr>
      <w:tr>
        <w:trPr>
          <w:tblHeader w:val="false"/>
        </w:trPr>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Opportunity F</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750,000</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EUR</w:t>
            </w:r>
          </w:p>
        </w:tc>
      </w:tr>
    </w:tbl>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05</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Minimize External API Calls</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Multiple Opportunities may request the same currency. The system must avoid making redundant API calls for the same currency pair within a single processing run.</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70D2" w:sz="8"/>
              <w:left w:val="thick" w:color="0070D2" w:sz="24"/>
              <w:bottom w:val="single" w:color="0070D2" w:sz="8"/>
              <w:right w:val="single" w:color="0070D2" w:sz="4"/>
            </w:tcBorders>
            <w:shd w:fill="EAF1FB" w:val="clear"/>
          </w:tcPr>
          <w:p>
            <w:pPr>
              <w:spacing w:after="60" w:before="60"/>
              <w:ind w:left="160"/>
            </w:pPr>
            <w:r>
              <w:rPr>
                <w:rFonts w:ascii="Courier New" w:cs="Courier New" w:eastAsia="Courier New" w:hAnsi="Courier New"/>
                <w:b/>
                <w:bCs/>
                <w:color w:val="032D60"/>
                <w:sz w:val="20"/>
                <w:szCs w:val="20"/>
              </w:rPr>
              <w:t xml:space="preserve">Strategy: Group Opportunities by currency, then make ONE API call per unique currency.</w:t>
            </w:r>
          </w:p>
          <w:p>
            <w:pPr>
              <w:spacing w:after="60" w:before="60"/>
              <w:ind w:left="160"/>
            </w:pPr>
            <w:r>
              <w:rPr>
                <w:rFonts w:ascii="Courier New" w:cs="Courier New" w:eastAsia="Courier New" w:hAnsi="Courier New"/>
                <w:b/>
                <w:bCs/>
                <w:color w:val="032D60"/>
                <w:sz w:val="20"/>
                <w:szCs w:val="20"/>
              </w:rPr>
              <w:t xml:space="preserve"/>
            </w:r>
          </w:p>
          <w:p>
            <w:pPr>
              <w:spacing w:after="60" w:before="60"/>
              <w:ind w:left="160"/>
            </w:pPr>
            <w:r>
              <w:rPr>
                <w:rFonts w:ascii="Courier New" w:cs="Courier New" w:eastAsia="Courier New" w:hAnsi="Courier New"/>
                <w:b/>
                <w:bCs/>
                <w:color w:val="032D60"/>
                <w:sz w:val="20"/>
                <w:szCs w:val="20"/>
              </w:rPr>
              <w:t xml:space="preserve">Example:</w:t>
            </w:r>
          </w:p>
          <w:p>
            <w:pPr>
              <w:spacing w:after="60" w:before="60"/>
              <w:ind w:left="160"/>
            </w:pPr>
            <w:r>
              <w:rPr>
                <w:rFonts w:ascii="Courier New" w:cs="Courier New" w:eastAsia="Courier New" w:hAnsi="Courier New"/>
                <w:b/>
                <w:bCs/>
                <w:color w:val="032D60"/>
                <w:sz w:val="20"/>
                <w:szCs w:val="20"/>
              </w:rPr>
              <w:t xml:space="preserve">  100 Opportunities → USD  =  1 API call</w:t>
            </w:r>
          </w:p>
          <w:p>
            <w:pPr>
              <w:spacing w:after="60" w:before="60"/>
              <w:ind w:left="160"/>
            </w:pPr>
            <w:r>
              <w:rPr>
                <w:rFonts w:ascii="Courier New" w:cs="Courier New" w:eastAsia="Courier New" w:hAnsi="Courier New"/>
                <w:b/>
                <w:bCs/>
                <w:color w:val="032D60"/>
                <w:sz w:val="20"/>
                <w:szCs w:val="20"/>
              </w:rPr>
              <w:t xml:space="preserve">   80 Opportunities → EUR  =  1 API call</w:t>
            </w:r>
          </w:p>
          <w:p>
            <w:pPr>
              <w:spacing w:after="60" w:before="60"/>
              <w:ind w:left="160"/>
            </w:pPr>
            <w:r>
              <w:rPr>
                <w:rFonts w:ascii="Courier New" w:cs="Courier New" w:eastAsia="Courier New" w:hAnsi="Courier New"/>
                <w:b/>
                <w:bCs/>
                <w:color w:val="032D60"/>
                <w:sz w:val="20"/>
                <w:szCs w:val="20"/>
              </w:rPr>
              <w:t xml:space="preserve">   70 Opportunities → JPY  =  1 API call</w:t>
            </w:r>
          </w:p>
          <w:p>
            <w:pPr>
              <w:spacing w:after="60" w:before="60"/>
              <w:ind w:left="160"/>
            </w:pPr>
            <w:r>
              <w:rPr>
                <w:rFonts w:ascii="Courier New" w:cs="Courier New" w:eastAsia="Courier New" w:hAnsi="Courier New"/>
                <w:b/>
                <w:bCs/>
                <w:color w:val="032D60"/>
                <w:sz w:val="20"/>
                <w:szCs w:val="20"/>
              </w:rPr>
              <w:t xml:space="preserve">   50 Opportunities → GBP  =  1 API call</w:t>
            </w:r>
          </w:p>
          <w:p>
            <w:pPr>
              <w:spacing w:after="60" w:before="60"/>
              <w:ind w:left="160"/>
            </w:pPr>
            <w:r>
              <w:rPr>
                <w:rFonts w:ascii="Courier New" w:cs="Courier New" w:eastAsia="Courier New" w:hAnsi="Courier New"/>
                <w:b/>
                <w:bCs/>
                <w:color w:val="032D60"/>
                <w:sz w:val="20"/>
                <w:szCs w:val="20"/>
              </w:rPr>
              <w:t xml:space="preserve">                            ─────────────</w:t>
            </w:r>
          </w:p>
          <w:p>
            <w:pPr>
              <w:spacing w:after="60" w:before="60"/>
              <w:ind w:left="160"/>
            </w:pPr>
            <w:r>
              <w:rPr>
                <w:rFonts w:ascii="Courier New" w:cs="Courier New" w:eastAsia="Courier New" w:hAnsi="Courier New"/>
                <w:b/>
                <w:bCs/>
                <w:color w:val="032D60"/>
                <w:sz w:val="20"/>
                <w:szCs w:val="20"/>
              </w:rPr>
              <w:t xml:space="preserve">  300 Opportunities        =  4 API calls total</w:t>
            </w:r>
          </w:p>
        </w:tc>
      </w:tr>
    </w:tbl>
    <w:p>
      <w:pPr>
        <w:spacing w:after="0" w:before="80"/>
      </w:pPr>
      <w:r>
        <w:t xml:space="preserve"/>
      </w:r>
    </w:p>
    <w:p>
      <w:pPr>
        <w:spacing w:after="80" w:before="60"/>
        <w:jc w:val="left"/>
      </w:pPr>
      <w:r>
        <w:rPr>
          <w:rFonts w:ascii="Calibri" w:cs="Calibri" w:eastAsia="Calibri" w:hAnsi="Calibri"/>
          <w:color w:val="3E3E3C"/>
          <w:sz w:val="20"/>
          <w:szCs w:val="20"/>
        </w:rPr>
        <w:t xml:space="preserve">The retrieved rate should be cached/reused for all Opportunities sharing the same target currency within that batch run.</w:t>
      </w:r>
    </w:p>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06</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Track Exchange Rate Information</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Exchange-rate information retrieved from the external API must be tracked in a dedicated Salesforce object (custom object or equivalent data structure). A new history record must be created every time a new rate is retrieved.</w:t>
      </w:r>
    </w:p>
    <w:p>
      <w:pPr>
        <w:spacing w:after="0" w:before="80"/>
      </w:pPr>
      <w:r>
        <w:t xml:space="preserve"/>
      </w:r>
    </w:p>
    <w:p>
      <w:pPr>
        <w:spacing w:after="80" w:before="60"/>
        <w:jc w:val="left"/>
      </w:pPr>
      <w:r>
        <w:rPr>
          <w:rFonts w:ascii="Calibri" w:cs="Calibri" w:eastAsia="Calibri" w:hAnsi="Calibri"/>
          <w:b/>
          <w:bCs/>
          <w:color w:val="032D60"/>
          <w:sz w:val="18"/>
          <w:szCs w:val="18"/>
        </w:rPr>
        <w:t xml:space="preserve">Minimum required fields: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Field</w:t>
            </w:r>
          </w:p>
        </w:tc>
        <w:tc>
          <w:tcPr>
            <w:tcW w:type="dxa" w:w="5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Description</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Base Currency</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Always BDT</w:t>
            </w:r>
          </w:p>
        </w:tc>
      </w:tr>
      <w:tr>
        <w:trPr>
          <w:tblHeader w:val="false"/>
        </w:trPr>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Target Currency</w:t>
            </w:r>
          </w:p>
        </w:tc>
        <w:tc>
          <w:tcPr>
            <w:tcW w:type="dxa" w:w="5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USD, EUR, JPY, etc.</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Exchange Rate</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Rate received from the API</w:t>
            </w:r>
          </w:p>
        </w:tc>
      </w:tr>
      <w:tr>
        <w:trPr>
          <w:tblHeader w:val="false"/>
        </w:trPr>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Retrieved Date/Time</w:t>
            </w:r>
          </w:p>
        </w:tc>
        <w:tc>
          <w:tcPr>
            <w:tcW w:type="dxa" w:w="5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Timestamp when the rate was fetched</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API Status</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Success or Failed</w:t>
            </w:r>
          </w:p>
        </w:tc>
      </w:tr>
      <w:tr>
        <w:trPr>
          <w:tblHeader w:val="false"/>
        </w:trPr>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Error Details</w:t>
            </w:r>
          </w:p>
        </w:tc>
        <w:tc>
          <w:tcPr>
            <w:tcW w:type="dxa" w:w="5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Failure information, if applicable</w:t>
            </w:r>
          </w:p>
        </w:tc>
      </w:tr>
    </w:tbl>
    <w:p>
      <w:pPr>
        <w:spacing w:after="0" w:before="100"/>
      </w:pPr>
      <w:r>
        <w:t xml:space="preserve"/>
      </w:r>
    </w:p>
    <w:p>
      <w:pPr>
        <w:spacing w:after="80" w:before="60"/>
        <w:jc w:val="left"/>
      </w:pPr>
      <w:r>
        <w:rPr>
          <w:rFonts w:ascii="Calibri" w:cs="Calibri" w:eastAsia="Calibri" w:hAnsi="Calibri"/>
          <w:b/>
          <w:bCs/>
          <w:color w:val="032D60"/>
          <w:sz w:val="18"/>
          <w:szCs w:val="18"/>
        </w:rPr>
        <w:t xml:space="preserve">Example exchange rate history records: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2500"/>
        <w:gridCol w:w="1300"/>
      </w:tblGrid>
      <w:tr>
        <w:trPr>
          <w:tblHeader/>
        </w:trPr>
        <w:tc>
          <w:tcPr>
            <w:tcW w:type="dxa" w:w="1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Base</w:t>
            </w:r>
          </w:p>
        </w:tc>
        <w:tc>
          <w:tcPr>
            <w:tcW w:type="dxa" w:w="1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Target</w:t>
            </w:r>
          </w:p>
        </w:tc>
        <w:tc>
          <w:tcPr>
            <w:tcW w:type="dxa" w:w="22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Exchange Rate</w:t>
            </w:r>
          </w:p>
        </w:tc>
        <w:tc>
          <w:tcPr>
            <w:tcW w:type="dxa" w:w="2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Retrieved At</w:t>
            </w:r>
          </w:p>
        </w:tc>
        <w:tc>
          <w:tcPr>
            <w:tcW w:type="dxa" w:w="13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Status</w:t>
            </w:r>
          </w:p>
        </w:tc>
      </w:tr>
      <w:tr>
        <w:trPr>
          <w:tblHeader w:val="false"/>
        </w:trPr>
        <w:tc>
          <w:tcPr>
            <w:tcW w:type="dxa" w:w="1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BDT</w:t>
            </w:r>
          </w:p>
        </w:tc>
        <w:tc>
          <w:tcPr>
            <w:tcW w:type="dxa" w:w="1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c>
          <w:tcPr>
            <w:tcW w:type="dxa" w:w="22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0.0082</w:t>
            </w:r>
          </w:p>
        </w:tc>
        <w:tc>
          <w:tcPr>
            <w:tcW w:type="dxa" w:w="2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[Date/Time]</w:t>
            </w:r>
          </w:p>
        </w:tc>
        <w:tc>
          <w:tcPr>
            <w:tcW w:type="dxa" w:w="13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Success</w:t>
            </w:r>
          </w:p>
        </w:tc>
      </w:tr>
      <w:tr>
        <w:trPr>
          <w:tblHeader w:val="false"/>
        </w:trPr>
        <w:tc>
          <w:tcPr>
            <w:tcW w:type="dxa" w:w="1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BDT</w:t>
            </w:r>
          </w:p>
        </w:tc>
        <w:tc>
          <w:tcPr>
            <w:tcW w:type="dxa" w:w="1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EUR</w:t>
            </w:r>
          </w:p>
        </w:tc>
        <w:tc>
          <w:tcPr>
            <w:tcW w:type="dxa" w:w="22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0.0070</w:t>
            </w:r>
          </w:p>
        </w:tc>
        <w:tc>
          <w:tcPr>
            <w:tcW w:type="dxa" w:w="2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[Date/Time]</w:t>
            </w:r>
          </w:p>
        </w:tc>
        <w:tc>
          <w:tcPr>
            <w:tcW w:type="dxa" w:w="13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Success</w:t>
            </w:r>
          </w:p>
        </w:tc>
      </w:tr>
      <w:tr>
        <w:trPr>
          <w:tblHeader w:val="false"/>
        </w:trPr>
        <w:tc>
          <w:tcPr>
            <w:tcW w:type="dxa" w:w="1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BDT</w:t>
            </w:r>
          </w:p>
        </w:tc>
        <w:tc>
          <w:tcPr>
            <w:tcW w:type="dxa" w:w="1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JPY</w:t>
            </w:r>
          </w:p>
        </w:tc>
        <w:tc>
          <w:tcPr>
            <w:tcW w:type="dxa" w:w="22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1.25</w:t>
            </w:r>
          </w:p>
        </w:tc>
        <w:tc>
          <w:tcPr>
            <w:tcW w:type="dxa" w:w="2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[Date/Time]</w:t>
            </w:r>
          </w:p>
        </w:tc>
        <w:tc>
          <w:tcPr>
            <w:tcW w:type="dxa" w:w="13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Success</w:t>
            </w:r>
          </w:p>
        </w:tc>
      </w:tr>
    </w:tbl>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07</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Track Opportunity Currency Updates</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Whenever an Opportunity currency conversion is successfully updated, sufficient information must be maintained to trace the change. This tracking enables administrators to identify how the converted value changed when a new exchange rate was applied.</w:t>
      </w:r>
    </w:p>
    <w:p>
      <w:pPr>
        <w:spacing w:after="0" w:before="80"/>
      </w:pPr>
      <w:r>
        <w:t xml:space="preserve"/>
      </w:r>
    </w:p>
    <w:p>
      <w:pPr>
        <w:spacing w:after="80" w:before="60"/>
        <w:jc w:val="left"/>
      </w:pPr>
      <w:r>
        <w:rPr>
          <w:rFonts w:ascii="Calibri" w:cs="Calibri" w:eastAsia="Calibri" w:hAnsi="Calibri"/>
          <w:b/>
          <w:bCs/>
          <w:color w:val="032D60"/>
          <w:sz w:val="18"/>
          <w:szCs w:val="18"/>
        </w:rPr>
        <w:t xml:space="preserve">Minimum required tracking fields: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Field</w:t>
            </w:r>
          </w:p>
        </w:tc>
        <w:tc>
          <w:tcPr>
            <w:tcW w:type="dxa" w:w="5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Description</w:t>
            </w:r>
          </w:p>
        </w:tc>
      </w:tr>
      <w:tr>
        <w:trPr>
          <w:tblHeader w:val="false"/>
        </w:trPr>
        <w:tc>
          <w:tcPr>
            <w:tcW w:type="dxa" w:w="4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Opportunity</w:t>
            </w:r>
          </w:p>
        </w:tc>
        <w:tc>
          <w:tcPr>
            <w:tcW w:type="dxa" w:w="5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Reference to the Opportunity record</w:t>
            </w:r>
          </w:p>
        </w:tc>
      </w:tr>
      <w:tr>
        <w:trPr>
          <w:tblHeader w:val="false"/>
        </w:trPr>
        <w:tc>
          <w:tcPr>
            <w:tcW w:type="dxa" w:w="4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Opportunity Amount (BDT)</w:t>
            </w:r>
          </w:p>
        </w:tc>
        <w:tc>
          <w:tcPr>
            <w:tcW w:type="dxa" w:w="5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The original amount in Bangladeshi Taka</w:t>
            </w:r>
          </w:p>
        </w:tc>
      </w:tr>
      <w:tr>
        <w:trPr>
          <w:tblHeader w:val="false"/>
        </w:trPr>
        <w:tc>
          <w:tcPr>
            <w:tcW w:type="dxa" w:w="4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Expected Currency Type</w:t>
            </w:r>
          </w:p>
        </w:tc>
        <w:tc>
          <w:tcPr>
            <w:tcW w:type="dxa" w:w="5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The target currency at time of update</w:t>
            </w:r>
          </w:p>
        </w:tc>
      </w:tr>
      <w:tr>
        <w:trPr>
          <w:tblHeader w:val="false"/>
        </w:trPr>
        <w:tc>
          <w:tcPr>
            <w:tcW w:type="dxa" w:w="4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Exchange Rate Used</w:t>
            </w:r>
          </w:p>
        </w:tc>
        <w:tc>
          <w:tcPr>
            <w:tcW w:type="dxa" w:w="5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The rate applied for this conversion</w:t>
            </w:r>
          </w:p>
        </w:tc>
      </w:tr>
      <w:tr>
        <w:trPr>
          <w:tblHeader w:val="false"/>
        </w:trPr>
        <w:tc>
          <w:tcPr>
            <w:tcW w:type="dxa" w:w="4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Previous Expected Currency Amount</w:t>
            </w:r>
          </w:p>
        </w:tc>
        <w:tc>
          <w:tcPr>
            <w:tcW w:type="dxa" w:w="5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Value before this update</w:t>
            </w:r>
          </w:p>
        </w:tc>
      </w:tr>
      <w:tr>
        <w:trPr>
          <w:tblHeader w:val="false"/>
        </w:trPr>
        <w:tc>
          <w:tcPr>
            <w:tcW w:type="dxa" w:w="4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New Expected Currency Amount</w:t>
            </w:r>
          </w:p>
        </w:tc>
        <w:tc>
          <w:tcPr>
            <w:tcW w:type="dxa" w:w="5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Value after this update</w:t>
            </w:r>
          </w:p>
        </w:tc>
      </w:tr>
      <w:tr>
        <w:trPr>
          <w:tblHeader w:val="false"/>
        </w:trPr>
        <w:tc>
          <w:tcPr>
            <w:tcW w:type="dxa" w:w="4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Updated Date/Time</w:t>
            </w:r>
          </w:p>
        </w:tc>
        <w:tc>
          <w:tcPr>
            <w:tcW w:type="dxa" w:w="5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Timestamp of the update</w:t>
            </w:r>
          </w:p>
        </w:tc>
      </w:tr>
    </w:tbl>
    <w:p>
      <w:pPr>
        <w:spacing w:after="0" w:before="100"/>
      </w:pPr>
      <w:r>
        <w:t xml:space="preserve"/>
      </w:r>
    </w:p>
    <w:p>
      <w:pPr>
        <w:spacing w:after="80" w:before="60"/>
        <w:jc w:val="left"/>
      </w:pPr>
      <w:r>
        <w:rPr>
          <w:rFonts w:ascii="Calibri" w:cs="Calibri" w:eastAsia="Calibri" w:hAnsi="Calibri"/>
          <w:b/>
          <w:bCs/>
          <w:color w:val="032D60"/>
          <w:sz w:val="18"/>
          <w:szCs w:val="18"/>
        </w:rPr>
        <w:t xml:space="preserve">Example tracking record:</w:t>
      </w:r>
    </w:p>
    <w:p>
      <w:pPr>
        <w:spacing w:after="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300"/>
        <w:gridCol w:w="2000"/>
        <w:gridCol w:w="1500"/>
      </w:tblGrid>
      <w:tr>
        <w:trPr>
          <w:tblHeader/>
        </w:trPr>
        <w:tc>
          <w:tcPr>
            <w:tcW w:type="dxa" w:w="22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Opportunity</w:t>
            </w:r>
          </w:p>
        </w:tc>
        <w:tc>
          <w:tcPr>
            <w:tcW w:type="dxa" w:w="16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BDT Amount</w:t>
            </w:r>
          </w:p>
        </w:tc>
        <w:tc>
          <w:tcPr>
            <w:tcW w:type="dxa" w:w="14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Currency</w:t>
            </w:r>
          </w:p>
        </w:tc>
        <w:tc>
          <w:tcPr>
            <w:tcW w:type="dxa" w:w="13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Rate</w:t>
            </w:r>
          </w:p>
        </w:tc>
        <w:tc>
          <w:tcPr>
            <w:tcW w:type="dxa" w:w="2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Previous Value</w:t>
            </w:r>
          </w:p>
        </w:tc>
        <w:tc>
          <w:tcPr>
            <w:tcW w:type="dxa" w:w="1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New Value</w:t>
            </w:r>
          </w:p>
        </w:tc>
      </w:tr>
      <w:tr>
        <w:trPr>
          <w:tblHeader w:val="false"/>
        </w:trPr>
        <w:tc>
          <w:tcPr>
            <w:tcW w:type="dxa" w:w="22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Global Software Deal</w:t>
            </w:r>
          </w:p>
        </w:tc>
        <w:tc>
          <w:tcPr>
            <w:tcW w:type="dxa" w:w="16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1,000,000</w:t>
            </w:r>
          </w:p>
        </w:tc>
        <w:tc>
          <w:tcPr>
            <w:tcW w:type="dxa" w:w="14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c>
          <w:tcPr>
            <w:tcW w:type="dxa" w:w="13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0.0082</w:t>
            </w:r>
          </w:p>
        </w:tc>
        <w:tc>
          <w:tcPr>
            <w:tcW w:type="dxa" w:w="2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8,100</w:t>
            </w:r>
          </w:p>
        </w:tc>
        <w:tc>
          <w:tcPr>
            <w:tcW w:type="dxa" w:w="1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8,200</w:t>
            </w:r>
          </w:p>
        </w:tc>
      </w:tr>
    </w:tbl>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08</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Handle Expected Currency Type Changes</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Users may change the Expected Currency Type on an existing Opportunity. When this occurs, the system must retrieve or use the appropriate exchange rate for the new target currency and update the Expected Currency Amount accordingly.</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tblHeader/>
        </w:trPr>
        <w:tc>
          <w:tcPr>
            <w:tcW w:type="dxa" w:w="28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Scenario</w:t>
            </w:r>
          </w:p>
        </w:tc>
        <w:tc>
          <w:tcPr>
            <w:tcW w:type="dxa" w:w="31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Before</w:t>
            </w:r>
          </w:p>
        </w:tc>
        <w:tc>
          <w:tcPr>
            <w:tcW w:type="dxa" w:w="31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After User Change</w:t>
            </w:r>
          </w:p>
        </w:tc>
      </w:tr>
      <w:tr>
        <w:trPr>
          <w:tblHeader w:val="false"/>
        </w:trPr>
        <w:tc>
          <w:tcPr>
            <w:tcW w:type="dxa" w:w="28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Amount</w:t>
            </w:r>
          </w:p>
        </w:tc>
        <w:tc>
          <w:tcPr>
            <w:tcW w:type="dxa" w:w="31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1,000,000 BDT</w:t>
            </w:r>
          </w:p>
        </w:tc>
        <w:tc>
          <w:tcPr>
            <w:tcW w:type="dxa" w:w="31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1,000,000 BDT  (unchanged)</w:t>
            </w:r>
          </w:p>
        </w:tc>
      </w:tr>
      <w:tr>
        <w:trPr>
          <w:tblHeader w:val="false"/>
        </w:trPr>
        <w:tc>
          <w:tcPr>
            <w:tcW w:type="dxa" w:w="28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Expected Currency Type</w:t>
            </w:r>
          </w:p>
        </w:tc>
        <w:tc>
          <w:tcPr>
            <w:tcW w:type="dxa" w:w="31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c>
          <w:tcPr>
            <w:tcW w:type="dxa" w:w="31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EUR  ← user changed</w:t>
            </w:r>
          </w:p>
        </w:tc>
      </w:tr>
      <w:tr>
        <w:trPr>
          <w:tblHeader w:val="false"/>
        </w:trPr>
        <w:tc>
          <w:tcPr>
            <w:tcW w:type="dxa" w:w="28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Expected Currency Amount</w:t>
            </w:r>
          </w:p>
        </w:tc>
        <w:tc>
          <w:tcPr>
            <w:tcW w:type="dxa" w:w="31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8,200</w:t>
            </w:r>
          </w:p>
        </w:tc>
        <w:tc>
          <w:tcPr>
            <w:tcW w:type="dxa" w:w="31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Recalculated using BDT → EUR</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70D2" w:sz="12"/>
              <w:left w:val="thick" w:color="0070D2" w:sz="18"/>
              <w:bottom w:val="single" w:color="0070D2" w:sz="12"/>
              <w:right w:val="single" w:color="0070D2" w:sz="4"/>
            </w:tcBorders>
            <w:shd w:fill="EAF1FB" w:val="clear"/>
          </w:tcPr>
          <w:p>
            <w:pPr>
              <w:spacing w:after="60" w:before="60"/>
            </w:pPr>
            <w:r>
              <w:rPr>
                <w:rFonts w:ascii="Calibri" w:cs="Calibri" w:eastAsia="Calibri" w:hAnsi="Calibri"/>
                <w:b/>
                <w:bCs/>
                <w:color w:val="0070D2"/>
                <w:sz w:val="18"/>
                <w:szCs w:val="18"/>
              </w:rPr>
              <w:t xml:space="preserve">Requirement</w:t>
            </w:r>
          </w:p>
          <w:p>
            <w:pPr>
              <w:spacing w:after="40" w:before="40"/>
            </w:pPr>
            <w:r>
              <w:rPr>
                <w:rFonts w:ascii="Calibri" w:cs="Calibri" w:eastAsia="Calibri" w:hAnsi="Calibri"/>
                <w:color w:val="3E3E3C"/>
                <w:sz w:val="18"/>
                <w:szCs w:val="18"/>
              </w:rPr>
              <w:t xml:space="preserve">The previous conversion information must remain available through the tracking mechanism described in Requirement 7.</w:t>
            </w:r>
          </w:p>
        </w:tc>
      </w:tr>
    </w:tbl>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09</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Error Handling</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The integration must handle all unsuccessful scenarios gracefully. When processing fails, set Currency Update Status to "Failed" and store meaningful information in the Currency Error Message field. A failed API response must never overwrite previously valid currency information with incorrect values.</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Scenario</w:t>
            </w:r>
          </w:p>
        </w:tc>
        <w:tc>
          <w:tcPr>
            <w:tcW w:type="dxa" w:w="5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Expected Behavior</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Successful API response</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Update Opportunity with converted values</w:t>
            </w:r>
          </w:p>
        </w:tc>
      </w:tr>
      <w:tr>
        <w:trPr>
          <w:tblHeader w:val="false"/>
        </w:trPr>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Invalid currency code</w:t>
            </w:r>
          </w:p>
        </w:tc>
        <w:tc>
          <w:tcPr>
            <w:tcW w:type="dxa" w:w="5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Mark as Failed; store error in Currency Error Message</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Blank Expected Currency Type</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Skip — do not perform conversion</w:t>
            </w:r>
          </w:p>
        </w:tc>
      </w:tr>
      <w:tr>
        <w:trPr>
          <w:tblHeader w:val="false"/>
        </w:trPr>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Blank Opportunity Amount</w:t>
            </w:r>
          </w:p>
        </w:tc>
        <w:tc>
          <w:tcPr>
            <w:tcW w:type="dxa" w:w="5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Handle appropriately; do not error uncontrollably</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Invalid API key</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Store meaningful failure information</w:t>
            </w:r>
          </w:p>
        </w:tc>
      </w:tr>
      <w:tr>
        <w:trPr>
          <w:tblHeader w:val="false"/>
        </w:trPr>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API quota exceeded</w:t>
            </w:r>
          </w:p>
        </w:tc>
        <w:tc>
          <w:tcPr>
            <w:tcW w:type="dxa" w:w="5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Handle without uncontrolled failure; preserve prior values</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API server failure</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Do not update conversion values; preserve prior values</w:t>
            </w:r>
          </w:p>
        </w:tc>
      </w:tr>
      <w:tr>
        <w:trPr>
          <w:tblHeader w:val="false"/>
        </w:trPr>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Empty API response</w:t>
            </w:r>
          </w:p>
        </w:tc>
        <w:tc>
          <w:tcPr>
            <w:tcW w:type="dxa" w:w="5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Handle gracefully; mark as Failed</w:t>
            </w:r>
          </w:p>
        </w:tc>
      </w:tr>
      <w:tr>
        <w:trPr>
          <w:tblHeader w:val="false"/>
        </w:trPr>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Invalid JSON response</w:t>
            </w:r>
          </w:p>
        </w:tc>
        <w:tc>
          <w:tcPr>
            <w:tcW w:type="dxa" w:w="5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Handle gracefully; mark as Failed</w:t>
            </w:r>
          </w:p>
        </w:tc>
      </w:tr>
    </w:tbl>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10</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Reprocessing</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Failed Opportunities must be identifiable so they can be targeted for reprocessing after the root cause is resolved.</w:t>
      </w:r>
    </w:p>
    <w:p>
      <w:pPr>
        <w:spacing w:after="0" w:before="60"/>
      </w:pPr>
      <w:r>
        <w:t xml:space="preserve"/>
      </w:r>
    </w:p>
    <w:p>
      <w:pPr>
        <w:pStyle w:val="ListParagraph"/>
        <w:numPr>
          <w:ilvl w:val="0"/>
          <w:numId w:val="1"/>
        </w:numPr>
        <w:spacing w:after="40" w:before="40"/>
      </w:pPr>
      <w:r>
        <w:rPr>
          <w:rFonts w:ascii="Calibri" w:cs="Calibri" w:eastAsia="Calibri" w:hAnsi="Calibri"/>
          <w:b w:val="false"/>
          <w:bCs w:val="false"/>
          <w:color w:val="3E3E3C"/>
          <w:sz w:val="20"/>
          <w:szCs w:val="20"/>
        </w:rPr>
        <w:t xml:space="preserve">Failed Opportunities can be identified using:  Currency Update Status = "Failed"</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After the issue is corrected, such Opportunities must be capable of being processed again.</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The solution must also allow successfully processed Opportunities to be refreshed with the latest exchange rate when needed.</w:t>
      </w:r>
    </w:p>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11</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Apex Unit Testing</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Prepare appropriate Apex test classes for all implemented Apex classes and triggers. </w:t>
      </w:r>
      <w:r>
        <w:rPr>
          <w:rFonts w:ascii="Calibri" w:cs="Calibri" w:eastAsia="Calibri" w:hAnsi="Calibri"/>
          <w:b/>
          <w:bCs/>
          <w:color w:val="032D60"/>
          <w:sz w:val="20"/>
          <w:szCs w:val="20"/>
        </w:rPr>
        <w:t xml:space="preserve">Code coverage alone is not sufficient — tests must validate actual business behavior.</w:t>
      </w:r>
      <w:r>
        <w:rPr>
          <w:rFonts w:ascii="Calibri" w:cs="Calibri" w:eastAsia="Calibri" w:hAnsi="Calibri"/>
          <w:color w:val="3E3E3C"/>
          <w:sz w:val="20"/>
          <w:szCs w:val="20"/>
        </w:rPr>
        <w:t xml:space="preserve"> Real calls to ExchangeRate-API must not be required during test execution.</w:t>
      </w:r>
    </w:p>
    <w:p>
      <w:pPr>
        <w:spacing w:after="0" w:before="80"/>
      </w:pPr>
      <w:r>
        <w:t xml:space="preserve"/>
      </w:r>
    </w:p>
    <w:p>
      <w:pPr>
        <w:spacing w:after="80" w:before="60"/>
        <w:jc w:val="left"/>
      </w:pPr>
      <w:r>
        <w:rPr>
          <w:rFonts w:ascii="Calibri" w:cs="Calibri" w:eastAsia="Calibri" w:hAnsi="Calibri"/>
          <w:b/>
          <w:bCs/>
          <w:color w:val="032D60"/>
          <w:sz w:val="18"/>
          <w:szCs w:val="18"/>
        </w:rPr>
        <w:t xml:space="preserve">Required test scenarios:</w:t>
      </w:r>
    </w:p>
    <w:p>
      <w:pPr>
        <w:spacing w:after="0" w:before="40"/>
      </w:pPr>
      <w:r>
        <w:t xml:space="preserve"/>
      </w:r>
    </w:p>
    <w:p>
      <w:pPr>
        <w:pStyle w:val="ListParagraph"/>
        <w:numPr>
          <w:ilvl w:val="0"/>
          <w:numId w:val="1"/>
        </w:numPr>
        <w:spacing w:after="40" w:before="40"/>
      </w:pPr>
      <w:r>
        <w:rPr>
          <w:rFonts w:ascii="Calibri" w:cs="Calibri" w:eastAsia="Calibri" w:hAnsi="Calibri"/>
          <w:b w:val="false"/>
          <w:bCs w:val="false"/>
          <w:color w:val="3E3E3C"/>
          <w:sz w:val="20"/>
          <w:szCs w:val="20"/>
        </w:rPr>
        <w:t xml:space="preserve">Successful BDT → USD conversion</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Successful BDT → EUR conversion</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Multiple Opportunities using the same target currency</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Multiple Opportunities using different currencies</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Expected Currency Type change on an Opportunity</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Correct Expected Currency Amount calculation</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Successful exchange-rate tracking record creation</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Successful Opportunity update tracking record creation</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Invalid currency code</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Blank Expected Currency Type</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API authentication failure</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API error response</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Empty response body</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Invalid JSON response</w:t>
      </w:r>
    </w:p>
    <w:p>
      <w:pPr>
        <w:pStyle w:val="ListParagraph"/>
        <w:numPr>
          <w:ilvl w:val="0"/>
          <w:numId w:val="1"/>
        </w:numPr>
        <w:spacing w:after="40" w:before="40"/>
      </w:pPr>
      <w:r>
        <w:rPr>
          <w:rFonts w:ascii="Calibri" w:cs="Calibri" w:eastAsia="Calibri" w:hAnsi="Calibri"/>
          <w:b w:val="false"/>
          <w:bCs w:val="false"/>
          <w:color w:val="3E3E3C"/>
          <w:sz w:val="20"/>
          <w:szCs w:val="20"/>
        </w:rPr>
        <w:t xml:space="preserve">Bulk-processing scenarios (close to or at governor limit)</w:t>
      </w:r>
    </w:p>
    <w:p>
      <w:pPr>
        <w:spacing w:after="0" w:before="100"/>
      </w:pPr>
      <w:r>
        <w:t xml:space="preserve"/>
      </w:r>
    </w:p>
    <w:p>
      <w:pPr>
        <w:spacing w:after="80" w:before="60"/>
        <w:jc w:val="left"/>
      </w:pPr>
      <w:r>
        <w:rPr>
          <w:rFonts w:ascii="Calibri" w:cs="Calibri" w:eastAsia="Calibri" w:hAnsi="Calibri"/>
          <w:b/>
          <w:bCs/>
          <w:color w:val="032D60"/>
          <w:sz w:val="18"/>
          <w:szCs w:val="18"/>
        </w:rPr>
        <w:t xml:space="preserve">Example test scenario:</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70D2" w:sz="8"/>
              <w:left w:val="thick" w:color="0070D2" w:sz="24"/>
              <w:bottom w:val="single" w:color="0070D2" w:sz="8"/>
              <w:right w:val="single" w:color="0070D2" w:sz="4"/>
            </w:tcBorders>
            <w:shd w:fill="EAF1FB" w:val="clear"/>
          </w:tcPr>
          <w:p>
            <w:pPr>
              <w:spacing w:after="60" w:before="60"/>
              <w:ind w:left="160"/>
            </w:pPr>
            <w:r>
              <w:rPr>
                <w:rFonts w:ascii="Courier New" w:cs="Courier New" w:eastAsia="Courier New" w:hAnsi="Courier New"/>
                <w:b/>
                <w:bCs/>
                <w:color w:val="032D60"/>
                <w:sz w:val="20"/>
                <w:szCs w:val="20"/>
              </w:rPr>
              <w:t xml:space="preserve">Input:</w:t>
            </w:r>
          </w:p>
          <w:p>
            <w:pPr>
              <w:spacing w:after="60" w:before="60"/>
              <w:ind w:left="160"/>
            </w:pPr>
            <w:r>
              <w:rPr>
                <w:rFonts w:ascii="Courier New" w:cs="Courier New" w:eastAsia="Courier New" w:hAnsi="Courier New"/>
                <w:b/>
                <w:bCs/>
                <w:color w:val="032D60"/>
                <w:sz w:val="20"/>
                <w:szCs w:val="20"/>
              </w:rPr>
              <w:t xml:space="preserve">  Opportunity Amount      =  1,000,000 BDT</w:t>
            </w:r>
          </w:p>
          <w:p>
            <w:pPr>
              <w:spacing w:after="60" w:before="60"/>
              <w:ind w:left="160"/>
            </w:pPr>
            <w:r>
              <w:rPr>
                <w:rFonts w:ascii="Courier New" w:cs="Courier New" w:eastAsia="Courier New" w:hAnsi="Courier New"/>
                <w:b/>
                <w:bCs/>
                <w:color w:val="032D60"/>
                <w:sz w:val="20"/>
                <w:szCs w:val="20"/>
              </w:rPr>
              <w:t xml:space="preserve">  Expected Currency Type  =  USD</w:t>
            </w:r>
          </w:p>
          <w:p>
            <w:pPr>
              <w:spacing w:after="60" w:before="60"/>
              <w:ind w:left="160"/>
            </w:pPr>
            <w:r>
              <w:rPr>
                <w:rFonts w:ascii="Courier New" w:cs="Courier New" w:eastAsia="Courier New" w:hAnsi="Courier New"/>
                <w:b/>
                <w:bCs/>
                <w:color w:val="032D60"/>
                <w:sz w:val="20"/>
                <w:szCs w:val="20"/>
              </w:rPr>
              <w:t xml:space="preserve">  Mock Exchange Rate      =  0.0082</w:t>
            </w:r>
          </w:p>
          <w:p>
            <w:pPr>
              <w:spacing w:after="60" w:before="60"/>
              <w:ind w:left="160"/>
            </w:pPr>
            <w:r>
              <w:rPr>
                <w:rFonts w:ascii="Courier New" w:cs="Courier New" w:eastAsia="Courier New" w:hAnsi="Courier New"/>
                <w:b/>
                <w:bCs/>
                <w:color w:val="032D60"/>
                <w:sz w:val="20"/>
                <w:szCs w:val="20"/>
              </w:rPr>
              <w:t xml:space="preserve"/>
            </w:r>
          </w:p>
          <w:p>
            <w:pPr>
              <w:spacing w:after="60" w:before="60"/>
              <w:ind w:left="160"/>
            </w:pPr>
            <w:r>
              <w:rPr>
                <w:rFonts w:ascii="Courier New" w:cs="Courier New" w:eastAsia="Courier New" w:hAnsi="Courier New"/>
                <w:b/>
                <w:bCs/>
                <w:color w:val="032D60"/>
                <w:sz w:val="20"/>
                <w:szCs w:val="20"/>
              </w:rPr>
              <w:t xml:space="preserve">Expected Assertions:</w:t>
            </w:r>
          </w:p>
          <w:p>
            <w:pPr>
              <w:spacing w:after="60" w:before="60"/>
              <w:ind w:left="160"/>
            </w:pPr>
            <w:r>
              <w:rPr>
                <w:rFonts w:ascii="Courier New" w:cs="Courier New" w:eastAsia="Courier New" w:hAnsi="Courier New"/>
                <w:b/>
                <w:bCs/>
                <w:color w:val="032D60"/>
                <w:sz w:val="20"/>
                <w:szCs w:val="20"/>
              </w:rPr>
              <w:t xml:space="preserve">  Expected Currency Amount  =  8,200</w:t>
            </w:r>
          </w:p>
          <w:p>
            <w:pPr>
              <w:spacing w:after="60" w:before="60"/>
              <w:ind w:left="160"/>
            </w:pPr>
            <w:r>
              <w:rPr>
                <w:rFonts w:ascii="Courier New" w:cs="Courier New" w:eastAsia="Courier New" w:hAnsi="Courier New"/>
                <w:b/>
                <w:bCs/>
                <w:color w:val="032D60"/>
                <w:sz w:val="20"/>
                <w:szCs w:val="20"/>
              </w:rPr>
              <w:t xml:space="preserve">  Exchange Rate             =  0.0082</w:t>
            </w:r>
          </w:p>
          <w:p>
            <w:pPr>
              <w:spacing w:after="60" w:before="60"/>
              <w:ind w:left="160"/>
            </w:pPr>
            <w:r>
              <w:rPr>
                <w:rFonts w:ascii="Courier New" w:cs="Courier New" w:eastAsia="Courier New" w:hAnsi="Courier New"/>
                <w:b/>
                <w:bCs/>
                <w:color w:val="032D60"/>
                <w:sz w:val="20"/>
                <w:szCs w:val="20"/>
              </w:rPr>
              <w:t xml:space="preserve">  Currency Update Status    =  Success</w:t>
            </w:r>
          </w:p>
        </w:tc>
      </w:tr>
    </w:tbl>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D32" w:sz="12"/>
              <w:left w:val="thick" w:color="2E7D32" w:sz="18"/>
              <w:bottom w:val="single" w:color="2E7D32" w:sz="12"/>
              <w:right w:val="single" w:color="2E7D32" w:sz="4"/>
            </w:tcBorders>
            <w:shd w:fill="E8F5E9" w:val="clear"/>
          </w:tcPr>
          <w:p>
            <w:pPr>
              <w:spacing w:after="60" w:before="60"/>
            </w:pPr>
            <w:r>
              <w:rPr>
                <w:rFonts w:ascii="Calibri" w:cs="Calibri" w:eastAsia="Calibri" w:hAnsi="Calibri"/>
                <w:b/>
                <w:bCs/>
                <w:color w:val="2E7D32"/>
                <w:sz w:val="18"/>
                <w:szCs w:val="18"/>
              </w:rPr>
              <w:t xml:space="preserve">Assertion Quality</w:t>
            </w:r>
          </w:p>
          <w:p>
            <w:pPr>
              <w:spacing w:after="40" w:before="40"/>
            </w:pPr>
            <w:r>
              <w:rPr>
                <w:rFonts w:ascii="Calibri" w:cs="Calibri" w:eastAsia="Calibri" w:hAnsi="Calibri"/>
                <w:color w:val="3E3E3C"/>
                <w:sz w:val="18"/>
                <w:szCs w:val="18"/>
              </w:rPr>
              <w:t xml:space="preserve">Use meaningful assertions to verify the expected business behavior — not just that the code ran without exceptions. Verify field values, tracking record creation, and error states.</w:t>
            </w:r>
          </w:p>
        </w:tc>
      </w:tr>
    </w:tbl>
    <w:p>
      <w:pPr>
        <w:spacing w:after="0" w:before="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c>
          <w:tcPr>
            <w:tcW w:type="dxa" w:w="1260"/>
            <w:tcBorders>
              <w:top w:val="none"/>
              <w:left w:val="none"/>
              <w:bottom w:val="none"/>
              <w:right w:val="none"/>
            </w:tcBorders>
            <w:shd w:fill="0070D2" w:val="clear"/>
            <w:vAlign w:val="center"/>
          </w:tcPr>
          <w:p>
            <w:pPr>
              <w:spacing w:after="80" w:before="80"/>
              <w:jc w:val="center"/>
            </w:pPr>
            <w:r>
              <w:rPr>
                <w:rFonts w:ascii="Calibri" w:cs="Calibri" w:eastAsia="Calibri" w:hAnsi="Calibri"/>
                <w:b/>
                <w:bCs/>
                <w:color w:val="FFFFFF"/>
                <w:sz w:val="18"/>
                <w:szCs w:val="18"/>
              </w:rPr>
              <w:t xml:space="preserve">REQ 12</w:t>
            </w:r>
          </w:p>
        </w:tc>
        <w:tc>
          <w:tcPr>
            <w:tcW w:type="dxa" w:w="7740"/>
            <w:tcBorders>
              <w:top w:val="none"/>
              <w:left w:val="none"/>
              <w:bottom w:val="none"/>
              <w:right w:val="none"/>
            </w:tcBorders>
            <w:shd w:fill="032D60" w:val="clear"/>
            <w:vAlign w:val="center"/>
          </w:tcPr>
          <w:p>
            <w:pPr>
              <w:spacing w:after="80" w:before="80"/>
              <w:ind w:left="160"/>
            </w:pPr>
            <w:r>
              <w:rPr>
                <w:rFonts w:ascii="Calibri" w:cs="Calibri" w:eastAsia="Calibri" w:hAnsi="Calibri"/>
                <w:b/>
                <w:bCs/>
                <w:color w:val="FFFFFF"/>
                <w:sz w:val="22"/>
                <w:szCs w:val="22"/>
              </w:rPr>
              <w:t xml:space="preserve">Final Verification</w:t>
            </w:r>
          </w:p>
        </w:tc>
      </w:tr>
    </w:tbl>
    <w:p>
      <w:pPr>
        <w:spacing w:after="0" w:before="100"/>
      </w:pPr>
      <w:r>
        <w:t xml:space="preserve"/>
      </w:r>
    </w:p>
    <w:p>
      <w:pPr>
        <w:spacing w:after="80" w:before="60"/>
        <w:jc w:val="left"/>
      </w:pPr>
      <w:r>
        <w:rPr>
          <w:rFonts w:ascii="Calibri" w:cs="Calibri" w:eastAsia="Calibri" w:hAnsi="Calibri"/>
          <w:color w:val="3E3E3C"/>
          <w:sz w:val="20"/>
          <w:szCs w:val="20"/>
        </w:rPr>
        <w:t xml:space="preserve">After full implementation, process the approximately </w:t>
      </w:r>
      <w:r>
        <w:rPr>
          <w:rFonts w:ascii="Calibri" w:cs="Calibri" w:eastAsia="Calibri" w:hAnsi="Calibri"/>
          <w:b/>
          <w:bCs/>
          <w:color w:val="0070D2"/>
          <w:sz w:val="20"/>
          <w:szCs w:val="20"/>
        </w:rPr>
        <w:t xml:space="preserve">500 Opportunities</w:t>
      </w:r>
      <w:r>
        <w:rPr>
          <w:rFonts w:ascii="Calibri" w:cs="Calibri" w:eastAsia="Calibri" w:hAnsi="Calibri"/>
          <w:color w:val="3E3E3C"/>
          <w:sz w:val="20"/>
          <w:szCs w:val="20"/>
        </w:rPr>
        <w:t xml:space="preserve"> available in the environment and provide a sample result.</w:t>
      </w:r>
    </w:p>
    <w:p>
      <w:pPr>
        <w:spacing w:after="0" w:before="80"/>
      </w:pPr>
      <w:r>
        <w:t xml:space="preserve"/>
      </w:r>
    </w:p>
    <w:p>
      <w:pPr>
        <w:spacing w:after="80" w:before="60"/>
        <w:jc w:val="left"/>
      </w:pPr>
      <w:r>
        <w:rPr>
          <w:rFonts w:ascii="Calibri" w:cs="Calibri" w:eastAsia="Calibri" w:hAnsi="Calibri"/>
          <w:b/>
          <w:bCs/>
          <w:color w:val="032D60"/>
          <w:sz w:val="18"/>
          <w:szCs w:val="18"/>
        </w:rPr>
        <w:t xml:space="preserve">Sample result table:</w:t>
      </w:r>
    </w:p>
    <w:p>
      <w:pPr>
        <w:spacing w:after="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500"/>
        <w:gridCol w:w="2000"/>
        <w:gridCol w:w="1500"/>
      </w:tblGrid>
      <w:tr>
        <w:trPr>
          <w:tblHeader/>
        </w:trPr>
        <w:tc>
          <w:tcPr>
            <w:tcW w:type="dxa" w:w="22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Opportunity</w:t>
            </w:r>
          </w:p>
        </w:tc>
        <w:tc>
          <w:tcPr>
            <w:tcW w:type="dxa" w:w="16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Amount (BDT)</w:t>
            </w:r>
          </w:p>
        </w:tc>
        <w:tc>
          <w:tcPr>
            <w:tcW w:type="dxa" w:w="12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Currency</w:t>
            </w:r>
          </w:p>
        </w:tc>
        <w:tc>
          <w:tcPr>
            <w:tcW w:type="dxa" w:w="1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Rate</w:t>
            </w:r>
          </w:p>
        </w:tc>
        <w:tc>
          <w:tcPr>
            <w:tcW w:type="dxa" w:w="2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Expected Amount</w:t>
            </w:r>
          </w:p>
        </w:tc>
        <w:tc>
          <w:tcPr>
            <w:tcW w:type="dxa" w:w="1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Status</w:t>
            </w:r>
          </w:p>
        </w:tc>
      </w:tr>
      <w:tr>
        <w:trPr>
          <w:tblHeader w:val="false"/>
        </w:trPr>
        <w:tc>
          <w:tcPr>
            <w:tcW w:type="dxa" w:w="22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Opportunity A</w:t>
            </w:r>
          </w:p>
        </w:tc>
        <w:tc>
          <w:tcPr>
            <w:tcW w:type="dxa" w:w="16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1,000,000</w:t>
            </w:r>
          </w:p>
        </w:tc>
        <w:tc>
          <w:tcPr>
            <w:tcW w:type="dxa" w:w="12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c>
          <w:tcPr>
            <w:tcW w:type="dxa" w:w="1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Retrieved</w:t>
            </w:r>
          </w:p>
        </w:tc>
        <w:tc>
          <w:tcPr>
            <w:tcW w:type="dxa" w:w="2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Calculated</w:t>
            </w:r>
          </w:p>
        </w:tc>
        <w:tc>
          <w:tcPr>
            <w:tcW w:type="dxa" w:w="1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Success</w:t>
            </w:r>
          </w:p>
        </w:tc>
      </w:tr>
      <w:tr>
        <w:trPr>
          <w:tblHeader w:val="false"/>
        </w:trPr>
        <w:tc>
          <w:tcPr>
            <w:tcW w:type="dxa" w:w="22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Opportunity B</w:t>
            </w:r>
          </w:p>
        </w:tc>
        <w:tc>
          <w:tcPr>
            <w:tcW w:type="dxa" w:w="16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2,500,000</w:t>
            </w:r>
          </w:p>
        </w:tc>
        <w:tc>
          <w:tcPr>
            <w:tcW w:type="dxa" w:w="12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c>
          <w:tcPr>
            <w:tcW w:type="dxa" w:w="1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Retrieved</w:t>
            </w:r>
          </w:p>
        </w:tc>
        <w:tc>
          <w:tcPr>
            <w:tcW w:type="dxa" w:w="2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Calculated</w:t>
            </w:r>
          </w:p>
        </w:tc>
        <w:tc>
          <w:tcPr>
            <w:tcW w:type="dxa" w:w="1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Success</w:t>
            </w:r>
          </w:p>
        </w:tc>
      </w:tr>
      <w:tr>
        <w:trPr>
          <w:tblHeader w:val="false"/>
        </w:trPr>
        <w:tc>
          <w:tcPr>
            <w:tcW w:type="dxa" w:w="22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Opportunity C</w:t>
            </w:r>
          </w:p>
        </w:tc>
        <w:tc>
          <w:tcPr>
            <w:tcW w:type="dxa" w:w="16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800,000</w:t>
            </w:r>
          </w:p>
        </w:tc>
        <w:tc>
          <w:tcPr>
            <w:tcW w:type="dxa" w:w="12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EUR</w:t>
            </w:r>
          </w:p>
        </w:tc>
        <w:tc>
          <w:tcPr>
            <w:tcW w:type="dxa" w:w="1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Retrieved</w:t>
            </w:r>
          </w:p>
        </w:tc>
        <w:tc>
          <w:tcPr>
            <w:tcW w:type="dxa" w:w="2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Calculated</w:t>
            </w:r>
          </w:p>
        </w:tc>
        <w:tc>
          <w:tcPr>
            <w:tcW w:type="dxa" w:w="1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Success</w:t>
            </w:r>
          </w:p>
        </w:tc>
      </w:tr>
      <w:tr>
        <w:trPr>
          <w:tblHeader w:val="false"/>
        </w:trPr>
        <w:tc>
          <w:tcPr>
            <w:tcW w:type="dxa" w:w="22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Opportunity D</w:t>
            </w:r>
          </w:p>
        </w:tc>
        <w:tc>
          <w:tcPr>
            <w:tcW w:type="dxa" w:w="16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5,000,000</w:t>
            </w:r>
          </w:p>
        </w:tc>
        <w:tc>
          <w:tcPr>
            <w:tcW w:type="dxa" w:w="12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JPY</w:t>
            </w:r>
          </w:p>
        </w:tc>
        <w:tc>
          <w:tcPr>
            <w:tcW w:type="dxa" w:w="1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Retrieved</w:t>
            </w:r>
          </w:p>
        </w:tc>
        <w:tc>
          <w:tcPr>
            <w:tcW w:type="dxa" w:w="2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Calculated</w:t>
            </w:r>
          </w:p>
        </w:tc>
        <w:tc>
          <w:tcPr>
            <w:tcW w:type="dxa" w:w="1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Success</w:t>
            </w:r>
          </w:p>
        </w:tc>
      </w:tr>
    </w:tbl>
    <w:p>
      <w:pPr>
        <w:spacing w:after="0" w:before="120"/>
      </w:pPr>
      <w:r>
        <w:t xml:space="preserve"/>
      </w:r>
    </w:p>
    <w:p>
      <w:pPr>
        <w:spacing w:after="80" w:before="60"/>
        <w:jc w:val="left"/>
      </w:pPr>
      <w:r>
        <w:rPr>
          <w:rFonts w:ascii="Calibri" w:cs="Calibri" w:eastAsia="Calibri" w:hAnsi="Calibri"/>
          <w:b/>
          <w:bCs/>
          <w:color w:val="032D60"/>
          <w:sz w:val="18"/>
          <w:szCs w:val="18"/>
        </w:rPr>
        <w:t xml:space="preserve">Processing Summary (to be filled after execution):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Status</w:t>
            </w:r>
          </w:p>
        </w:tc>
        <w:tc>
          <w:tcPr>
            <w:tcW w:type="dxa" w:w="4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Count</w:t>
            </w:r>
          </w:p>
        </w:tc>
      </w:tr>
      <w:tr>
        <w:trPr>
          <w:tblHeader w:val="false"/>
        </w:trPr>
        <w:tc>
          <w:tcPr>
            <w:tcW w:type="dxa" w:w="4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Success</w:t>
            </w:r>
          </w:p>
        </w:tc>
        <w:tc>
          <w:tcPr>
            <w:tcW w:type="dxa" w:w="4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
            </w:r>
          </w:p>
        </w:tc>
      </w:tr>
      <w:tr>
        <w:trPr>
          <w:tblHeader w:val="false"/>
        </w:trPr>
        <w:tc>
          <w:tcPr>
            <w:tcW w:type="dxa" w:w="4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Failed</w:t>
            </w:r>
          </w:p>
        </w:tc>
        <w:tc>
          <w:tcPr>
            <w:tcW w:type="dxa" w:w="4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
            </w:r>
          </w:p>
        </w:tc>
      </w:tr>
      <w:tr>
        <w:trPr>
          <w:tblHeader w:val="false"/>
        </w:trPr>
        <w:tc>
          <w:tcPr>
            <w:tcW w:type="dxa" w:w="4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Pending</w:t>
            </w:r>
          </w:p>
        </w:tc>
        <w:tc>
          <w:tcPr>
            <w:tcW w:type="dxa" w:w="4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
            </w:r>
          </w:p>
        </w:tc>
      </w:tr>
      <w:tr>
        <w:trPr>
          <w:tblHeader w:val="false"/>
        </w:trPr>
        <w:tc>
          <w:tcPr>
            <w:tcW w:type="dxa" w:w="4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Total</w:t>
            </w:r>
          </w:p>
        </w:tc>
        <w:tc>
          <w:tcPr>
            <w:tcW w:type="dxa" w:w="4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~500</w:t>
            </w:r>
          </w:p>
        </w:tc>
      </w:tr>
    </w:tbl>
    <w:p>
      <w:pPr>
        <w:spacing w:after="0" w:before="120"/>
      </w:pPr>
      <w:r>
        <w:t xml:space="preserve"/>
      </w:r>
    </w:p>
    <w:p>
      <w:pPr>
        <w:spacing w:after="80" w:before="60"/>
        <w:jc w:val="left"/>
      </w:pPr>
      <w:r>
        <w:rPr>
          <w:rFonts w:ascii="Calibri" w:cs="Calibri" w:eastAsia="Calibri" w:hAnsi="Calibri"/>
          <w:b/>
          <w:bCs/>
          <w:color w:val="032D60"/>
          <w:sz w:val="18"/>
          <w:szCs w:val="18"/>
        </w:rPr>
        <w:t xml:space="preserve">Exchange Rate Summary (to be filled after execution):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rPr>
          <w:tblHeader/>
        </w:trPr>
        <w:tc>
          <w:tcPr>
            <w:tcW w:type="dxa" w:w="2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Currency</w:t>
            </w:r>
          </w:p>
        </w:tc>
        <w:tc>
          <w:tcPr>
            <w:tcW w:type="dxa" w:w="30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Retrieved Rate</w:t>
            </w:r>
          </w:p>
        </w:tc>
        <w:tc>
          <w:tcPr>
            <w:tcW w:type="dxa" w:w="3500"/>
            <w:tcBorders>
              <w:top w:val="single" w:color="E5E5E5" w:sz="4"/>
              <w:left w:val="single" w:color="E5E5E5" w:sz="4"/>
              <w:bottom w:val="single" w:color="E5E5E5" w:sz="4"/>
              <w:right w:val="single" w:color="E5E5E5" w:sz="4"/>
            </w:tcBorders>
            <w:shd w:fill="16325C" w:val="clear"/>
            <w:vAlign w:val="center"/>
          </w:tcPr>
          <w:p>
            <w:pPr>
              <w:spacing w:after="80" w:before="80"/>
              <w:ind w:left="80" w:right="80"/>
            </w:pPr>
            <w:r>
              <w:rPr>
                <w:rFonts w:ascii="Calibri" w:cs="Calibri" w:eastAsia="Calibri" w:hAnsi="Calibri"/>
                <w:b/>
                <w:bCs/>
                <w:color w:val="FFFFFF"/>
                <w:sz w:val="18"/>
                <w:szCs w:val="18"/>
              </w:rPr>
              <w:t xml:space="preserve">Opportunities Using This Rate</w:t>
            </w:r>
          </w:p>
        </w:tc>
      </w:tr>
      <w:tr>
        <w:trPr>
          <w:tblHeader w:val="false"/>
        </w:trPr>
        <w:tc>
          <w:tcPr>
            <w:tcW w:type="dxa" w:w="2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USD</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
            </w:r>
          </w:p>
        </w:tc>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
            </w:r>
          </w:p>
        </w:tc>
      </w:tr>
      <w:tr>
        <w:trPr>
          <w:tblHeader w:val="false"/>
        </w:trPr>
        <w:tc>
          <w:tcPr>
            <w:tcW w:type="dxa" w:w="2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EUR</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
            </w:r>
          </w:p>
        </w:tc>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
            </w:r>
          </w:p>
        </w:tc>
      </w:tr>
      <w:tr>
        <w:trPr>
          <w:tblHeader w:val="false"/>
        </w:trPr>
        <w:tc>
          <w:tcPr>
            <w:tcW w:type="dxa" w:w="2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JPY</w:t>
            </w:r>
          </w:p>
        </w:tc>
        <w:tc>
          <w:tcPr>
            <w:tcW w:type="dxa" w:w="30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
            </w:r>
          </w:p>
        </w:tc>
        <w:tc>
          <w:tcPr>
            <w:tcW w:type="dxa" w:w="3500"/>
            <w:tcBorders>
              <w:top w:val="single" w:color="E5E5E5" w:sz="4"/>
              <w:left w:val="single" w:color="E5E5E5" w:sz="4"/>
              <w:bottom w:val="single" w:color="E5E5E5" w:sz="4"/>
              <w:right w:val="single" w:color="E5E5E5" w:sz="4"/>
            </w:tcBorders>
            <w:shd w:fill="F8FAFB" w:val="clear"/>
            <w:vAlign w:val="center"/>
          </w:tcPr>
          <w:p>
            <w:pPr>
              <w:spacing w:after="80" w:before="80"/>
              <w:ind w:left="80" w:right="80"/>
            </w:pPr>
            <w:r>
              <w:rPr>
                <w:rFonts w:ascii="Calibri" w:cs="Calibri" w:eastAsia="Calibri" w:hAnsi="Calibri"/>
                <w:b w:val="false"/>
                <w:bCs w:val="false"/>
                <w:color w:val="3E3E3C"/>
                <w:sz w:val="18"/>
                <w:szCs w:val="18"/>
              </w:rPr>
              <w:t xml:space="preserve"/>
            </w:r>
          </w:p>
        </w:tc>
      </w:tr>
      <w:tr>
        <w:trPr>
          <w:tblHeader w:val="false"/>
        </w:trPr>
        <w:tc>
          <w:tcPr>
            <w:tcW w:type="dxa" w:w="2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GBP</w:t>
            </w:r>
          </w:p>
        </w:tc>
        <w:tc>
          <w:tcPr>
            <w:tcW w:type="dxa" w:w="30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
            </w:r>
          </w:p>
        </w:tc>
        <w:tc>
          <w:tcPr>
            <w:tcW w:type="dxa" w:w="3500"/>
            <w:tcBorders>
              <w:top w:val="single" w:color="E5E5E5" w:sz="4"/>
              <w:left w:val="single" w:color="E5E5E5" w:sz="4"/>
              <w:bottom w:val="single" w:color="E5E5E5" w:sz="4"/>
              <w:right w:val="single" w:color="E5E5E5" w:sz="4"/>
            </w:tcBorders>
            <w:shd w:fill="FFFFFF" w:val="clear"/>
            <w:vAlign w:val="center"/>
          </w:tcPr>
          <w:p>
            <w:pPr>
              <w:spacing w:after="80" w:before="80"/>
              <w:ind w:left="80" w:right="80"/>
            </w:pPr>
            <w:r>
              <w:rPr>
                <w:rFonts w:ascii="Calibri" w:cs="Calibri" w:eastAsia="Calibri" w:hAnsi="Calibri"/>
                <w:b w:val="false"/>
                <w:bCs w:val="false"/>
                <w:color w:val="3E3E3C"/>
                <w:sz w:val="18"/>
                <w:szCs w:val="18"/>
              </w:rPr>
              <w:t xml:space="preserve"/>
            </w:r>
          </w:p>
        </w:tc>
      </w:tr>
    </w:tbl>
    <w:p>
      <w:pPr>
        <w:spacing w:after="0" w:before="200"/>
      </w:pPr>
      <w:r>
        <w:t xml:space="preserve"/>
      </w:r>
    </w:p>
    <w:p>
      <w:pPr>
        <w:pBdr>
          <w:bottom w:val="single" w:color="0070D2" w:sz="4" w:space="1"/>
        </w:pBdr>
        <w:spacing w:after="160" w:before="160"/>
      </w:pPr>
      <w:r>
        <w:t xml:space="preserve"/>
      </w:r>
    </w:p>
    <w:p>
      <w:pPr>
        <w:spacing w:after="100" w:before="280"/>
      </w:pPr>
      <w:r>
        <w:rPr>
          <w:rFonts w:ascii="Calibri" w:cs="Calibri" w:eastAsia="Calibri" w:hAnsi="Calibri"/>
          <w:b/>
          <w:bCs/>
          <w:color w:val="0070D2"/>
          <w:sz w:val="28"/>
          <w:szCs w:val="28"/>
        </w:rPr>
        <w:t xml:space="preserve">Deliverables</w:t>
      </w:r>
    </w:p>
    <w:p>
      <w:pPr>
        <w:spacing w:after="80" w:before="60"/>
        <w:jc w:val="left"/>
      </w:pPr>
      <w:r>
        <w:rPr>
          <w:rFonts w:ascii="Calibri" w:cs="Calibri" w:eastAsia="Calibri" w:hAnsi="Calibri"/>
          <w:color w:val="3E3E3C"/>
          <w:sz w:val="20"/>
          <w:szCs w:val="20"/>
        </w:rPr>
        <w:t xml:space="preserve">Submit all of the following as part of this assignment:</w:t>
      </w:r>
    </w:p>
    <w:p>
      <w:pPr>
        <w:spacing w:after="0" w:before="60"/>
      </w:pPr>
      <w:r>
        <w:t xml:space="preserve"/>
      </w:r>
    </w:p>
    <w:p>
      <w:pPr>
        <w:spacing w:after="60" w:before="60"/>
        <w:ind w:left="120"/>
      </w:pPr>
      <w:r>
        <w:rPr>
          <w:rFonts w:ascii="Calibri" w:cs="Calibri" w:eastAsia="Calibri" w:hAnsi="Calibri"/>
          <w:b/>
          <w:bCs/>
          <w:color w:val="0070D2"/>
          <w:sz w:val="20"/>
          <w:szCs w:val="20"/>
        </w:rPr>
        <w:t xml:space="preserve">01.  </w:t>
      </w:r>
      <w:r>
        <w:rPr>
          <w:rFonts w:ascii="Calibri" w:cs="Calibri" w:eastAsia="Calibri" w:hAnsi="Calibri"/>
          <w:color w:val="3E3E3C"/>
          <w:sz w:val="20"/>
          <w:szCs w:val="20"/>
        </w:rPr>
        <w:t xml:space="preserve">All implemented Apex classes</w:t>
      </w:r>
    </w:p>
    <w:p>
      <w:pPr>
        <w:spacing w:after="60" w:before="60"/>
        <w:ind w:left="120"/>
      </w:pPr>
      <w:r>
        <w:rPr>
          <w:rFonts w:ascii="Calibri" w:cs="Calibri" w:eastAsia="Calibri" w:hAnsi="Calibri"/>
          <w:b/>
          <w:bCs/>
          <w:color w:val="0070D2"/>
          <w:sz w:val="20"/>
          <w:szCs w:val="20"/>
        </w:rPr>
        <w:t xml:space="preserve">02.  </w:t>
      </w:r>
      <w:r>
        <w:rPr>
          <w:rFonts w:ascii="Calibri" w:cs="Calibri" w:eastAsia="Calibri" w:hAnsi="Calibri"/>
          <w:color w:val="3E3E3C"/>
          <w:sz w:val="20"/>
          <w:szCs w:val="20"/>
        </w:rPr>
        <w:t xml:space="preserve">Any implemented Apex triggers</w:t>
      </w:r>
    </w:p>
    <w:p>
      <w:pPr>
        <w:spacing w:after="60" w:before="60"/>
        <w:ind w:left="120"/>
      </w:pPr>
      <w:r>
        <w:rPr>
          <w:rFonts w:ascii="Calibri" w:cs="Calibri" w:eastAsia="Calibri" w:hAnsi="Calibri"/>
          <w:b/>
          <w:bCs/>
          <w:color w:val="0070D2"/>
          <w:sz w:val="20"/>
          <w:szCs w:val="20"/>
        </w:rPr>
        <w:t xml:space="preserve">03.  </w:t>
      </w:r>
      <w:r>
        <w:rPr>
          <w:rFonts w:ascii="Calibri" w:cs="Calibri" w:eastAsia="Calibri" w:hAnsi="Calibri"/>
          <w:color w:val="3E3E3C"/>
          <w:sz w:val="20"/>
          <w:szCs w:val="20"/>
        </w:rPr>
        <w:t xml:space="preserve">Salesforce configuration used to connect with ExchangeRate-API</w:t>
      </w:r>
    </w:p>
    <w:p>
      <w:pPr>
        <w:spacing w:after="60" w:before="60"/>
        <w:ind w:left="120"/>
      </w:pPr>
      <w:r>
        <w:rPr>
          <w:rFonts w:ascii="Calibri" w:cs="Calibri" w:eastAsia="Calibri" w:hAnsi="Calibri"/>
          <w:b/>
          <w:bCs/>
          <w:color w:val="0070D2"/>
          <w:sz w:val="20"/>
          <w:szCs w:val="20"/>
        </w:rPr>
        <w:t xml:space="preserve">04.  </w:t>
      </w:r>
      <w:r>
        <w:rPr>
          <w:rFonts w:ascii="Calibri" w:cs="Calibri" w:eastAsia="Calibri" w:hAnsi="Calibri"/>
          <w:color w:val="3E3E3C"/>
          <w:sz w:val="20"/>
          <w:szCs w:val="20"/>
        </w:rPr>
        <w:t xml:space="preserve">API authentication configuration</w:t>
      </w:r>
    </w:p>
    <w:p>
      <w:pPr>
        <w:spacing w:after="60" w:before="60"/>
        <w:ind w:left="120"/>
      </w:pPr>
      <w:r>
        <w:rPr>
          <w:rFonts w:ascii="Calibri" w:cs="Calibri" w:eastAsia="Calibri" w:hAnsi="Calibri"/>
          <w:b/>
          <w:bCs/>
          <w:color w:val="0070D2"/>
          <w:sz w:val="20"/>
          <w:szCs w:val="20"/>
        </w:rPr>
        <w:t xml:space="preserve">05.  </w:t>
      </w:r>
      <w:r>
        <w:rPr>
          <w:rFonts w:ascii="Calibri" w:cs="Calibri" w:eastAsia="Calibri" w:hAnsi="Calibri"/>
          <w:color w:val="3E3E3C"/>
          <w:sz w:val="20"/>
          <w:szCs w:val="20"/>
        </w:rPr>
        <w:t xml:space="preserve">Exchange-rate tracking implementation</w:t>
      </w:r>
    </w:p>
    <w:p>
      <w:pPr>
        <w:spacing w:after="60" w:before="60"/>
        <w:ind w:left="120"/>
      </w:pPr>
      <w:r>
        <w:rPr>
          <w:rFonts w:ascii="Calibri" w:cs="Calibri" w:eastAsia="Calibri" w:hAnsi="Calibri"/>
          <w:b/>
          <w:bCs/>
          <w:color w:val="0070D2"/>
          <w:sz w:val="20"/>
          <w:szCs w:val="20"/>
        </w:rPr>
        <w:t xml:space="preserve">06.  </w:t>
      </w:r>
      <w:r>
        <w:rPr>
          <w:rFonts w:ascii="Calibri" w:cs="Calibri" w:eastAsia="Calibri" w:hAnsi="Calibri"/>
          <w:color w:val="3E3E3C"/>
          <w:sz w:val="20"/>
          <w:szCs w:val="20"/>
        </w:rPr>
        <w:t xml:space="preserve">Opportunity currency-update tracking implementation</w:t>
      </w:r>
    </w:p>
    <w:p>
      <w:pPr>
        <w:spacing w:after="60" w:before="60"/>
        <w:ind w:left="120"/>
      </w:pPr>
      <w:r>
        <w:rPr>
          <w:rFonts w:ascii="Calibri" w:cs="Calibri" w:eastAsia="Calibri" w:hAnsi="Calibri"/>
          <w:b/>
          <w:bCs/>
          <w:color w:val="0070D2"/>
          <w:sz w:val="20"/>
          <w:szCs w:val="20"/>
        </w:rPr>
        <w:t xml:space="preserve">07.  </w:t>
      </w:r>
      <w:r>
        <w:rPr>
          <w:rFonts w:ascii="Calibri" w:cs="Calibri" w:eastAsia="Calibri" w:hAnsi="Calibri"/>
          <w:color w:val="3E3E3C"/>
          <w:sz w:val="20"/>
          <w:szCs w:val="20"/>
        </w:rPr>
        <w:t xml:space="preserve">Apex test classes</w:t>
      </w:r>
    </w:p>
    <w:p>
      <w:pPr>
        <w:spacing w:after="60" w:before="60"/>
        <w:ind w:left="120"/>
      </w:pPr>
      <w:r>
        <w:rPr>
          <w:rFonts w:ascii="Calibri" w:cs="Calibri" w:eastAsia="Calibri" w:hAnsi="Calibri"/>
          <w:b/>
          <w:bCs/>
          <w:color w:val="0070D2"/>
          <w:sz w:val="20"/>
          <w:szCs w:val="20"/>
        </w:rPr>
        <w:t xml:space="preserve">08.  </w:t>
      </w:r>
      <w:r>
        <w:rPr>
          <w:rFonts w:ascii="Calibri" w:cs="Calibri" w:eastAsia="Calibri" w:hAnsi="Calibri"/>
          <w:color w:val="3E3E3C"/>
          <w:sz w:val="20"/>
          <w:szCs w:val="20"/>
        </w:rPr>
        <w:t xml:space="preserve">Test execution result and code coverage</w:t>
      </w:r>
    </w:p>
    <w:p>
      <w:pPr>
        <w:spacing w:after="60" w:before="60"/>
        <w:ind w:left="120"/>
      </w:pPr>
      <w:r>
        <w:rPr>
          <w:rFonts w:ascii="Calibri" w:cs="Calibri" w:eastAsia="Calibri" w:hAnsi="Calibri"/>
          <w:b/>
          <w:bCs/>
          <w:color w:val="0070D2"/>
          <w:sz w:val="20"/>
          <w:szCs w:val="20"/>
        </w:rPr>
        <w:t xml:space="preserve">09.  </w:t>
      </w:r>
      <w:r>
        <w:rPr>
          <w:rFonts w:ascii="Calibri" w:cs="Calibri" w:eastAsia="Calibri" w:hAnsi="Calibri"/>
          <w:color w:val="3E3E3C"/>
          <w:sz w:val="20"/>
          <w:szCs w:val="20"/>
        </w:rPr>
        <w:t xml:space="preserve">Sample successfully converted Opportunities</w:t>
      </w:r>
    </w:p>
    <w:p>
      <w:pPr>
        <w:spacing w:after="60" w:before="60"/>
        <w:ind w:left="120"/>
      </w:pPr>
      <w:r>
        <w:rPr>
          <w:rFonts w:ascii="Calibri" w:cs="Calibri" w:eastAsia="Calibri" w:hAnsi="Calibri"/>
          <w:b/>
          <w:bCs/>
          <w:color w:val="0070D2"/>
          <w:sz w:val="20"/>
          <w:szCs w:val="20"/>
        </w:rPr>
        <w:t xml:space="preserve">10.  </w:t>
      </w:r>
      <w:r>
        <w:rPr>
          <w:rFonts w:ascii="Calibri" w:cs="Calibri" w:eastAsia="Calibri" w:hAnsi="Calibri"/>
          <w:color w:val="3E3E3C"/>
          <w:sz w:val="20"/>
          <w:szCs w:val="20"/>
        </w:rPr>
        <w:t xml:space="preserve">Sample failed processing result</w:t>
      </w:r>
    </w:p>
    <w:p>
      <w:pPr>
        <w:spacing w:after="60" w:before="60"/>
        <w:ind w:left="120"/>
      </w:pPr>
      <w:r>
        <w:rPr>
          <w:rFonts w:ascii="Calibri" w:cs="Calibri" w:eastAsia="Calibri" w:hAnsi="Calibri"/>
          <w:b/>
          <w:bCs/>
          <w:color w:val="0070D2"/>
          <w:sz w:val="20"/>
          <w:szCs w:val="20"/>
        </w:rPr>
        <w:t xml:space="preserve">11.  </w:t>
      </w:r>
      <w:r>
        <w:rPr>
          <w:rFonts w:ascii="Calibri" w:cs="Calibri" w:eastAsia="Calibri" w:hAnsi="Calibri"/>
          <w:color w:val="3E3E3C"/>
          <w:sz w:val="20"/>
          <w:szCs w:val="20"/>
        </w:rPr>
        <w:t xml:space="preserve">Exchange-rate history evidence</w:t>
      </w:r>
    </w:p>
    <w:p>
      <w:pPr>
        <w:spacing w:after="60" w:before="60"/>
        <w:ind w:left="120"/>
      </w:pPr>
      <w:r>
        <w:rPr>
          <w:rFonts w:ascii="Calibri" w:cs="Calibri" w:eastAsia="Calibri" w:hAnsi="Calibri"/>
          <w:b/>
          <w:bCs/>
          <w:color w:val="0070D2"/>
          <w:sz w:val="20"/>
          <w:szCs w:val="20"/>
        </w:rPr>
        <w:t xml:space="preserve">12.  </w:t>
      </w:r>
      <w:r>
        <w:rPr>
          <w:rFonts w:ascii="Calibri" w:cs="Calibri" w:eastAsia="Calibri" w:hAnsi="Calibri"/>
          <w:color w:val="3E3E3C"/>
          <w:sz w:val="20"/>
          <w:szCs w:val="20"/>
        </w:rPr>
        <w:t xml:space="preserve">Opportunity currency-update history evidence</w:t>
      </w:r>
    </w:p>
    <w:p>
      <w:pPr>
        <w:spacing w:after="60" w:before="60"/>
        <w:ind w:left="120"/>
      </w:pPr>
      <w:r>
        <w:rPr>
          <w:rFonts w:ascii="Calibri" w:cs="Calibri" w:eastAsia="Calibri" w:hAnsi="Calibri"/>
          <w:b/>
          <w:bCs/>
          <w:color w:val="0070D2"/>
          <w:sz w:val="20"/>
          <w:szCs w:val="20"/>
        </w:rPr>
        <w:t xml:space="preserve">13.  </w:t>
      </w:r>
      <w:r>
        <w:rPr>
          <w:rFonts w:ascii="Calibri" w:cs="Calibri" w:eastAsia="Calibri" w:hAnsi="Calibri"/>
          <w:color w:val="3E3E3C"/>
          <w:sz w:val="20"/>
          <w:szCs w:val="20"/>
        </w:rPr>
        <w:t xml:space="preserve">Processing summary for the approximately 500 Opportunities</w:t>
      </w:r>
    </w:p>
    <w:p>
      <w:pPr>
        <w:spacing w:after="60" w:before="60"/>
        <w:ind w:left="120"/>
      </w:pPr>
      <w:r>
        <w:rPr>
          <w:rFonts w:ascii="Calibri" w:cs="Calibri" w:eastAsia="Calibri" w:hAnsi="Calibri"/>
          <w:b/>
          <w:bCs/>
          <w:color w:val="0070D2"/>
          <w:sz w:val="20"/>
          <w:szCs w:val="20"/>
        </w:rPr>
        <w:t xml:space="preserve">14.  </w:t>
      </w:r>
      <w:r>
        <w:rPr>
          <w:rFonts w:ascii="Calibri" w:cs="Calibri" w:eastAsia="Calibri" w:hAnsi="Calibri"/>
          <w:color w:val="3E3E3C"/>
          <w:sz w:val="20"/>
          <w:szCs w:val="20"/>
        </w:rPr>
        <w:t xml:space="preserve">A short technical explanation covering: secure API connection, API key management, Opportunity grouping and processing efficiency, avoiding unnecessary API requests, currency and Opportunity update tracking, failure handling and reprocessing, and testing of external callouts</w:t>
      </w:r>
    </w:p>
    <w:p>
      <w:pPr>
        <w:spacing w:after="0" w:before="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70D2" w:sz="12"/>
              <w:left w:val="thick" w:color="0070D2" w:sz="18"/>
              <w:bottom w:val="single" w:color="0070D2" w:sz="12"/>
              <w:right w:val="single" w:color="0070D2" w:sz="4"/>
            </w:tcBorders>
            <w:shd w:fill="EAF1FB" w:val="clear"/>
          </w:tcPr>
          <w:p>
            <w:pPr>
              <w:spacing w:after="60" w:before="60"/>
            </w:pPr>
            <w:r>
              <w:rPr>
                <w:rFonts w:ascii="Calibri" w:cs="Calibri" w:eastAsia="Calibri" w:hAnsi="Calibri"/>
                <w:b/>
                <w:bCs/>
                <w:color w:val="0070D2"/>
                <w:sz w:val="18"/>
                <w:szCs w:val="18"/>
              </w:rPr>
              <w:t xml:space="preserve">Submission Note</w:t>
            </w:r>
          </w:p>
          <w:p>
            <w:pPr>
              <w:spacing w:after="40" w:before="40"/>
            </w:pPr>
            <w:r>
              <w:rPr>
                <w:rFonts w:ascii="Calibri" w:cs="Calibri" w:eastAsia="Calibri" w:hAnsi="Calibri"/>
                <w:color w:val="3E3E3C"/>
                <w:sz w:val="18"/>
                <w:szCs w:val="18"/>
              </w:rPr>
              <w:t xml:space="preserve">All Apex code must follow best practices for governor limit compliance, separation of concerns, and secure credential management.</w:t>
            </w:r>
          </w:p>
          <w:p>
            <w:pPr>
              <w:spacing w:after="40" w:before="40"/>
            </w:pPr>
            <w:r>
              <w:rPr>
                <w:rFonts w:ascii="Calibri" w:cs="Calibri" w:eastAsia="Calibri" w:hAnsi="Calibri"/>
                <w:color w:val="3E3E3C"/>
                <w:sz w:val="18"/>
                <w:szCs w:val="18"/>
              </w:rPr>
              <w:t xml:space="preserve">Include screenshots or exported reports as evidence for tracking records and final processing results.</w:t>
            </w:r>
          </w:p>
        </w:tc>
      </w:tr>
    </w:tbl>
    <w:p>
      <w:pPr>
        <w:spacing w:after="0" w:before="200"/>
      </w:pPr>
      <w:r>
        <w:t xml:space="preserve"/>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0070D2" w:sz="6"/>
            <w:left w:val="none"/>
            <w:bottom w:val="none"/>
            <w:right w:val="none"/>
          </w:tcBorders>
        </w:tcPr>
        <w:p>
          <w:pPr>
            <w:spacing w:before="40"/>
          </w:pPr>
          <w:r>
            <w:rPr>
              <w:rFonts w:ascii="Calibri" w:cs="Calibri" w:eastAsia="Calibri" w:hAnsi="Calibri"/>
              <w:color w:val="6B7B8D"/>
              <w:sz w:val="16"/>
              <w:szCs w:val="16"/>
            </w:rPr>
            <w:t xml:space="preserve">Opportunity Currency Conversion Integration</w:t>
          </w:r>
        </w:p>
      </w:tc>
      <w:tc>
        <w:tcPr>
          <w:tcBorders>
            <w:top w:val="single" w:color="0070D2" w:sz="6"/>
            <w:left w:val="none"/>
            <w:bottom w:val="none"/>
            <w:right w:val="none"/>
          </w:tcBorders>
        </w:tcPr>
        <w:p>
          <w:pPr>
            <w:spacing w:before="40"/>
            <w:jc w:val="right"/>
          </w:pPr>
          <w:r>
            <w:rPr>
              <w:rFonts w:ascii="Calibri" w:cs="Calibri" w:eastAsia="Calibri" w:hAnsi="Calibri"/>
              <w:color w:val="6B7B8D"/>
              <w:sz w:val="16"/>
              <w:szCs w:val="16"/>
            </w:rPr>
            <w:t xml:space="preserve">Page </w:t>
          </w:r>
          <w:r>
            <w:rPr>
              <w:rFonts w:ascii="Calibri" w:cs="Calibri" w:eastAsia="Calibri" w:hAnsi="Calibri"/>
              <w:color w:val="6B7B8D"/>
              <w:sz w:val="16"/>
              <w:szCs w:val="16"/>
            </w:rPr>
            <w:fldChar w:fldCharType="begin"/>
            <w:instrText xml:space="preserve">PAGE</w:instrText>
            <w:fldChar w:fldCharType="separate"/>
            <w:fldChar w:fldCharType="end"/>
          </w:r>
          <w:r>
            <w:rPr>
              <w:rFonts w:ascii="Calibri" w:cs="Calibri" w:eastAsia="Calibri" w:hAnsi="Calibri"/>
              <w:color w:val="6B7B8D"/>
              <w:sz w:val="16"/>
              <w:szCs w:val="16"/>
            </w:rPr>
            <w:t xml:space="preserve"> of </w:t>
          </w:r>
          <w:r>
            <w:rPr>
              <w:rFonts w:ascii="Calibri" w:cs="Calibri" w:eastAsia="Calibri" w:hAnsi="Calibri"/>
              <w:color w:val="6B7B8D"/>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Borders>
            <w:top w:val="none"/>
            <w:left w:val="none"/>
            <w:bottom w:val="single" w:color="0070D2" w:sz="6"/>
            <w:right w:val="none"/>
          </w:tcBorders>
        </w:tcPr>
        <w:p>
          <w:pPr>
            <w:spacing w:after="40" w:before="40"/>
          </w:pPr>
          <w:r>
            <w:rPr>
              <w:rFonts w:ascii="Calibri" w:cs="Calibri" w:eastAsia="Calibri" w:hAnsi="Calibri"/>
              <w:color w:val="6B7B8D"/>
              <w:sz w:val="16"/>
              <w:szCs w:val="16"/>
            </w:rPr>
            <w:t xml:space="preserve">Salesforce Apex Assignment  ·  Task-05</w:t>
          </w:r>
        </w:p>
      </w:tc>
      <w:tc>
        <w:tcPr>
          <w:tcBorders>
            <w:top w:val="none"/>
            <w:left w:val="none"/>
            <w:bottom w:val="single" w:color="0070D2" w:sz="6"/>
            <w:right w:val="none"/>
          </w:tcBorders>
        </w:tcPr>
        <w:p>
          <w:pPr>
            <w:spacing w:after="40" w:before="40"/>
            <w:jc w:val="right"/>
          </w:pPr>
          <w:r>
            <w:rPr>
              <w:rFonts w:ascii="Calibri" w:cs="Calibri" w:eastAsia="Calibri" w:hAnsi="Calibri"/>
              <w:color w:val="6B7B8D"/>
              <w:sz w:val="16"/>
              <w:szCs w:val="16"/>
            </w:rPr>
            <w:t xml:space="preserve">BJIT Limited — Salesforce CoE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36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Apex Assignment — Task-05</dc:title>
  <dc:creator>BJIT Salesforce CoE</dc:creator>
  <dc:description>Opportunity Currency Conversion Integration</dc:description>
  <cp:lastModifiedBy>Un-named</cp:lastModifiedBy>
  <cp:revision>1</cp:revision>
  <dcterms:created xsi:type="dcterms:W3CDTF">2026-09-15T10:57:38.380Z</dcterms:created>
  <dcterms:modified xsi:type="dcterms:W3CDTF">2026-09-15T10:57:38.394Z</dcterms:modified>
</cp:coreProperties>
</file>

<file path=docProps/custom.xml><?xml version="1.0" encoding="utf-8"?>
<Properties xmlns="http://schemas.openxmlformats.org/officeDocument/2006/custom-properties" xmlns:vt="http://schemas.openxmlformats.org/officeDocument/2006/docPropsVTypes"/>
</file>