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false"/>
          <w:bCs w:val="false"/>
          <w:sz w:val="22"/>
          <w:szCs w:val="22"/>
        </w:rPr>
        <w:t xml:space="preserve">Dr. Casey Rivera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casey@example.edu | 555-900-1000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RESEARCH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Human-computer interaction, accessibility, and applied machine learning.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PUBLICATIONS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Rivera C. Accessible Interfaces in Practice. 2024.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TEACHING EXPERIENCE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Lecturer, Example University | 2021 - Present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EDUCATION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Ph.D. Computer Science, Example University | 2021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2026-06-20T05:44:33.898Z</dcterms:created>
  <dcterms:modified xsi:type="dcterms:W3CDTF">2026-06-20T05:44:33.898Z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