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4"/>
        </w:rPr>
        <w:t>INSURANCE POLICY CERTIFICATE</w:t>
      </w:r>
    </w:p>
    <w:p>
      <w:pPr>
        <w:jc w:val="center"/>
      </w:pPr>
      <w:r>
        <w:rPr>
          <w:color w:val="555555"/>
          <w:sz w:val="24"/>
        </w:rPr>
        <w:t>Mock General Insurance 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color w:val="1A3A6B"/>
              </w:rPr>
              <w:t>Policy Number</w:t>
            </w:r>
          </w:p>
        </w:tc>
        <w:tc>
          <w:tcPr>
            <w:tcW w:type="dxa" w:w="5760"/>
          </w:tcPr>
          <w:p>
            <w:r>
              <w:t>INS-2024-GEN-00987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Policyholder</w:t>
            </w:r>
          </w:p>
        </w:tc>
        <w:tc>
          <w:tcPr>
            <w:tcW w:type="dxa" w:w="5760"/>
          </w:tcPr>
          <w:p>
            <w:r>
              <w:t>Mock Ventures LLC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Insured Address</w:t>
            </w:r>
          </w:p>
        </w:tc>
        <w:tc>
          <w:tcPr>
            <w:tcW w:type="dxa" w:w="5760"/>
          </w:tcPr>
          <w:p>
            <w:r>
              <w:t>456 Commerce Blvd, San Francisco, CA 94107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Insurance Company</w:t>
            </w:r>
          </w:p>
        </w:tc>
        <w:tc>
          <w:tcPr>
            <w:tcW w:type="dxa" w:w="5760"/>
          </w:tcPr>
          <w:p>
            <w:r>
              <w:t>Mock General Insurance Co.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Policy Type</w:t>
            </w:r>
          </w:p>
        </w:tc>
        <w:tc>
          <w:tcPr>
            <w:tcW w:type="dxa" w:w="5760"/>
          </w:tcPr>
          <w:p>
            <w:r>
              <w:t>Commercial General Liability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Coverage Limit</w:t>
            </w:r>
          </w:p>
        </w:tc>
        <w:tc>
          <w:tcPr>
            <w:tcW w:type="dxa" w:w="5760"/>
          </w:tcPr>
          <w:p>
            <w:r>
              <w:t>$1,000,000 per occurrence / $2,000,000 aggregate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Deductible</w:t>
            </w:r>
          </w:p>
        </w:tc>
        <w:tc>
          <w:tcPr>
            <w:tcW w:type="dxa" w:w="5760"/>
          </w:tcPr>
          <w:p>
            <w:r>
              <w:t>$500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Effective Date</w:t>
            </w:r>
          </w:p>
        </w:tc>
        <w:tc>
          <w:tcPr>
            <w:tcW w:type="dxa" w:w="5760"/>
          </w:tcPr>
          <w:p>
            <w:r>
              <w:t>January 1, 2024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Expiration Date</w:t>
            </w:r>
          </w:p>
        </w:tc>
        <w:tc>
          <w:tcPr>
            <w:tcW w:type="dxa" w:w="5760"/>
          </w:tcPr>
          <w:p>
            <w:r>
              <w:t>December 31, 2024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Agent Name</w:t>
            </w:r>
          </w:p>
        </w:tc>
        <w:tc>
          <w:tcPr>
            <w:tcW w:type="dxa" w:w="5760"/>
          </w:tcPr>
          <w:p>
            <w:r>
              <w:t>Robert T. Johnson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Agent Phone</w:t>
            </w:r>
          </w:p>
        </w:tc>
        <w:tc>
          <w:tcPr>
            <w:tcW w:type="dxa" w:w="5760"/>
          </w:tcPr>
          <w:p>
            <w:r>
              <w:t>(800) 555-7890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Status</w:t>
            </w:r>
          </w:p>
        </w:tc>
        <w:tc>
          <w:tcPr>
            <w:tcW w:type="dxa" w:w="5760"/>
          </w:tcPr>
          <w:p>
            <w:r>
              <w:t>ACTIVE</w:t>
            </w:r>
          </w:p>
        </w:tc>
      </w:tr>
    </w:tbl>
    <w:p/>
    <w:p>
      <w:r>
        <w:rPr>
          <w:b/>
        </w:rPr>
        <w:t>Coverage Description</w:t>
      </w:r>
    </w:p>
    <w:p>
      <w:r>
        <w:t>This policy provides commercial general liability coverage for bodily injury, property damage, and personal &amp; advertising injury arising out of the insured's business operations at the above-listed premises.</w:t>
      </w:r>
    </w:p>
    <w:p>
      <w:r>
        <w:rPr>
          <w:b/>
        </w:rPr>
        <w:t>Exclusions</w:t>
      </w:r>
    </w:p>
    <w:p>
      <w:r>
        <w:t>Intentional acts, professional liability, auto liability, workers' compensation, and pollution liability are NOT covered under this policy. Refer to the full policy document for a complete list of exclusions.</w:t>
      </w:r>
    </w:p>
    <w:p/>
    <w:p>
      <w:pPr>
        <w:jc w:val="center"/>
      </w:pPr>
      <w:r>
        <w:rPr>
          <w:color w:val="FF4444"/>
          <w:sz w:val="20"/>
        </w:rPr>
        <w:t>⚠  SAMPLE / MOCK DOCUMENT — FOR TESTING PURPOSES ONLY  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