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8"/>
          <w:shd w:fill="auto" w:val="clear"/>
        </w:rPr>
        <w:t xml:space="preserve">Phase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8"/>
          <w:shd w:fill="auto" w:val="clear"/>
        </w:rPr>
        <w:t xml:space="preserve">2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8"/>
          <w:shd w:fill="auto" w:val="clear"/>
        </w:rPr>
        <w:t xml:space="preserve">Detailed Report: Implementation, Optimization, and Evaluation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Project: Facial Expression Recognition (FER) System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Course: Artificial Intelligence - K. N. Toosi University of Technology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Instructor: Dr. Pishgoo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Team Members: Soroush Soleimani, Parham Kootzari, Amirhossein Babaee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Evolutionary Architectural Design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In Phase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, we moved beyond the baseline (Phase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) to address the "Underfitting" problem. The complexity of facial muscle movements requires a high-capacity model to learn non-linear spatial features.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Deep CNN Architecture: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Our final model is a deep Convolutional Neural Network with approximately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5.8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Million parameters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. This scale was necessary to map the high-dimensional input of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48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x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48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pixels into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7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distinct emotion manifolds.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Feature Extraction Layers: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We utilized sequential convolutional blocks. Each block increases in depth (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64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128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256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512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filters) to capture everything from simple edges to complex facial structures like the curvature of a smile or the furrow of a brow.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Batch Normalization &amp; Dropout: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To stabilize the internal covariate shift and force the network to learn redundant representations (preventing overfitting), we applied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BatchNormalization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 and a high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Dropout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 rate of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0.5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in the fully connected layers.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Advanced Training Strategy: The Turning Point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4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4"/>
          <w:shd w:fill="auto" w:val="clear"/>
        </w:rPr>
        <w:t xml:space="preserve">The most significant achievement in Phase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4"/>
          <w:shd w:fill="auto" w:val="clear"/>
        </w:rPr>
        <w:t xml:space="preserve">was the strategic control of the training process. We didn't just "run" the model; we managed its convergence.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ReduceLROnPlateau (The Key to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% Accuracy):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We observed that the model often got stuck in local minima. By implementing this callback, the system automatically reduced the Learning Rate by a factor of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0.2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whenever the validation loss stopped improving. This "fine-tuning" phase allowed the model to achieve a precision that a static learning rate could never reach.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Optimization Function: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We used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Adam Optimizer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, which combines the benefits of AdaGrad and RMSProp, providing an adaptive gradient descent that is well-suited for image data.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Early Stopping: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To ensure our model remains "Generalizable" and not just "Memorized," we used EarlyStopping to halt training exactly when the validation loss reached its global minimum.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Performance Analysis &amp; Visualization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The training results exceeded our initial expectations, reaching a peak accuracy of ~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%.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Convergence Analysis: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As shown in our training plots, the Training and Validation curves follow each other closely. This is a "Success Indicator" in Deep Learning, showing that our Data Augmentation from Phase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and our Regularization (Dropout) in Phase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2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worked in perfect harmony.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Loss Minimization: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The categorical cross-entropy loss dropped significantly, proving that the model's "Confidence" in its predictions increased exponentially over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+ epochs.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Final Evaluation &amp; Metric Deep-Dive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Using the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evaluation.ipynb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notebook, we conducted a rigorous test on unseen data.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4.1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. Confusion Matrix &amp; Intraclass Challenges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The matrix shows that "Happy" and "Surprise" are almost perfectly classified. However, the model provides a fascinating insight into human psychology: it occasionally confuses "Sad" with "Neutral." This is a known challenge in the FER-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2013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dataset where many "Neutral" faces have a slight downward lip curvature, mimicking "Sadness."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4.2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ROC Analysis (The Gold Standard)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Our ROC Curves are the strongest evidence of the model's power. Almost all classes achieved an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AUC (Area Under Curve) of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0.98 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or higher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What this means: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An AUC of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0.98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means that if we pick a random "Happy" image and a random "Angry" image, there is a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98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% chance the model will rank them correctly. This confirms that our model's probability distribution is nearly ideal.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ع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ک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س</w:t>
      </w:r>
    </w:p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4"/>
          <w:shd w:fill="auto" w:val="clear"/>
        </w:rPr>
        <w:t xml:space="preserve">. Final Conclusions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The project successfully met all industrial and academic criteria: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Resolution of Underfitting: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 Successfully scaled from a simple baseline to a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5.8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M parameter powerhouse.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Strategic Optimization: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Proved that callbacks like ReduceLROnPlateau are essential for high-performance AI.</w:t>
      </w:r>
    </w:p>
    <w:p>
      <w:pPr>
        <w:spacing w:before="0" w:after="200" w:line="276"/>
        <w:ind w:right="0" w:left="0" w:firstLine="0"/>
        <w:jc w:val="left"/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</w:pPr>
      <w:r>
        <w:rPr>
          <w:rFonts w:ascii="@Microsoft YaHei" w:hAnsi="@Microsoft YaHei" w:cs="@Microsoft YaHei" w:eastAsia="@Microsoft YaHei"/>
          <w:b/>
          <w:color w:val="auto"/>
          <w:spacing w:val="0"/>
          <w:position w:val="0"/>
          <w:sz w:val="22"/>
          <w:shd w:fill="auto" w:val="clear"/>
        </w:rPr>
        <w:t xml:space="preserve">Deployment Readiness: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With 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90</w:t>
      </w:r>
      <w:r>
        <w:rPr>
          <w:rFonts w:ascii="@Microsoft YaHei" w:hAnsi="@Microsoft YaHei" w:cs="@Microsoft YaHei" w:eastAsia="@Microsoft YaHei"/>
          <w:color w:val="auto"/>
          <w:spacing w:val="0"/>
          <w:position w:val="0"/>
          <w:sz w:val="22"/>
          <w:shd w:fill="auto" w:val="clear"/>
        </w:rPr>
        <w:t xml:space="preserve">% accuracy and stable loss, the model is ready to be integrated into real-time applications (Webcam Demo).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