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8F5B743" w14:textId="77777777" w:rsidR="00AA3CE4" w:rsidRDefault="00000000">
      <w:pPr>
        <w:pStyle w:val="Title"/>
      </w:pPr>
      <w:r>
        <w:rPr>
          <w:rFonts w:ascii="Calibri" w:hAnsi="Calibri"/>
          <w:b/>
        </w:rPr>
        <w:t>Feasibility Assessment</w:t>
      </w:r>
    </w:p>
    <w:p w14:paraId="55842F13" w14:textId="77777777" w:rsidR="00AA3CE4" w:rsidRDefault="00000000">
      <w:pPr>
        <w:pStyle w:val="Subtitle"/>
      </w:pPr>
      <w:r>
        <w:rPr>
          <w:rFonts w:ascii="Calibri" w:hAnsi="Calibri"/>
          <w:i w:val="0"/>
        </w:rPr>
        <w:t>Requested SURD analyses, implementation status, and practical constraints</w:t>
      </w:r>
    </w:p>
    <w:tbl>
      <w:tblPr>
        <w:tblW w:w="9360" w:type="dxa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2450"/>
        <w:gridCol w:w="2500"/>
        <w:gridCol w:w="4410"/>
      </w:tblGrid>
      <w:tr w:rsidR="00AA3CE4" w14:paraId="61156A5B" w14:textId="77777777">
        <w:trPr>
          <w:cantSplit/>
          <w:tblHeader/>
        </w:trPr>
        <w:tc>
          <w:tcPr>
            <w:tcW w:w="2450" w:type="dxa"/>
            <w:shd w:val="clear" w:color="auto" w:fill="E8EEF5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B0ECC69" w14:textId="77777777" w:rsidR="00AA3CE4" w:rsidRDefault="00000000">
            <w:pPr>
              <w:spacing w:after="0" w:line="240" w:lineRule="auto"/>
            </w:pPr>
            <w:r>
              <w:rPr>
                <w:b/>
                <w:color w:val="1F4D78"/>
                <w:sz w:val="20"/>
              </w:rPr>
              <w:t>Requested work</w:t>
            </w:r>
          </w:p>
        </w:tc>
        <w:tc>
          <w:tcPr>
            <w:tcW w:w="2500" w:type="dxa"/>
            <w:shd w:val="clear" w:color="auto" w:fill="E8EEF5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1C4B030" w14:textId="77777777" w:rsidR="00AA3CE4" w:rsidRDefault="00000000">
            <w:pPr>
              <w:spacing w:after="0" w:line="240" w:lineRule="auto"/>
            </w:pPr>
            <w:r>
              <w:rPr>
                <w:b/>
                <w:color w:val="1F4D78"/>
                <w:sz w:val="20"/>
              </w:rPr>
              <w:t>Status</w:t>
            </w:r>
          </w:p>
        </w:tc>
        <w:tc>
          <w:tcPr>
            <w:tcW w:w="4410" w:type="dxa"/>
            <w:shd w:val="clear" w:color="auto" w:fill="E8EEF5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1A7E553" w14:textId="77777777" w:rsidR="00AA3CE4" w:rsidRDefault="00000000">
            <w:pPr>
              <w:spacing w:after="0" w:line="240" w:lineRule="auto"/>
            </w:pPr>
            <w:r>
              <w:rPr>
                <w:b/>
                <w:color w:val="1F4D78"/>
                <w:sz w:val="20"/>
              </w:rPr>
              <w:t>Assessment</w:t>
            </w:r>
          </w:p>
        </w:tc>
      </w:tr>
      <w:tr w:rsidR="00AA3CE4" w14:paraId="769F2625" w14:textId="77777777">
        <w:trPr>
          <w:cantSplit/>
        </w:trPr>
        <w:tc>
          <w:tcPr>
            <w:tcW w:w="24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9E10A9" w14:textId="77777777" w:rsidR="00AA3CE4" w:rsidRDefault="00000000">
            <w:pPr>
              <w:spacing w:after="0" w:line="259" w:lineRule="auto"/>
            </w:pPr>
            <w:r>
              <w:rPr>
                <w:b/>
                <w:color w:val="222222"/>
                <w:sz w:val="18"/>
              </w:rPr>
              <w:t>Verify the SURD equations and normalization</w:t>
            </w:r>
          </w:p>
        </w:tc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F1D095" w14:textId="77777777" w:rsidR="00AA3CE4" w:rsidRDefault="00000000">
            <w:pPr>
              <w:spacing w:after="0" w:line="259" w:lineRule="auto"/>
            </w:pPr>
            <w:r>
              <w:rPr>
                <w:color w:val="222222"/>
                <w:sz w:val="18"/>
              </w:rPr>
              <w:t>Already largely done</w:t>
            </w:r>
          </w:p>
        </w:tc>
        <w:tc>
          <w:tcPr>
            <w:tcW w:w="44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DB858B" w14:textId="77777777" w:rsidR="00AA3CE4" w:rsidRDefault="00000000">
            <w:pPr>
              <w:spacing w:after="0" w:line="259" w:lineRule="auto"/>
            </w:pPr>
            <w:r>
              <w:rPr>
                <w:color w:val="222222"/>
                <w:sz w:val="18"/>
              </w:rPr>
              <w:t>The repository uses the original SURD implementation and correctly computes specific information, atoms, and leak.</w:t>
            </w:r>
          </w:p>
        </w:tc>
      </w:tr>
      <w:tr w:rsidR="00AA3CE4" w14:paraId="71A4E124" w14:textId="77777777">
        <w:trPr>
          <w:cantSplit/>
        </w:trPr>
        <w:tc>
          <w:tcPr>
            <w:tcW w:w="245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8754FF" w14:textId="77777777" w:rsidR="00AA3CE4" w:rsidRDefault="00000000">
            <w:pPr>
              <w:spacing w:after="0" w:line="259" w:lineRule="auto"/>
            </w:pPr>
            <w:r>
              <w:rPr>
                <w:b/>
                <w:color w:val="222222"/>
                <w:sz w:val="18"/>
              </w:rPr>
              <w:t>Common-lag analysis for four targets</w:t>
            </w:r>
          </w:p>
        </w:tc>
        <w:tc>
          <w:tcPr>
            <w:tcW w:w="250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4A8B5" w14:textId="77777777" w:rsidR="00AA3CE4" w:rsidRDefault="00000000">
            <w:pPr>
              <w:spacing w:after="0" w:line="259" w:lineRule="auto"/>
            </w:pPr>
            <w:r>
              <w:rPr>
                <w:color w:val="222222"/>
                <w:sz w:val="18"/>
              </w:rPr>
              <w:t>Mostly done</w:t>
            </w:r>
          </w:p>
        </w:tc>
        <w:tc>
          <w:tcPr>
            <w:tcW w:w="441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58FB12" w14:textId="77777777" w:rsidR="00AA3CE4" w:rsidRDefault="00000000">
            <w:pPr>
              <w:spacing w:after="0" w:line="259" w:lineRule="auto"/>
            </w:pPr>
            <w:r>
              <w:rPr>
                <w:color w:val="222222"/>
                <w:sz w:val="18"/>
              </w:rPr>
              <w:t>Existing code runs four targets using F5100, blue, core, and red with the remaining three as predictors over 1-200 days. See scratch/run_round_robin_200d.py:45.</w:t>
            </w:r>
          </w:p>
        </w:tc>
      </w:tr>
      <w:tr w:rsidR="00AA3CE4" w14:paraId="62100BF4" w14:textId="77777777">
        <w:trPr>
          <w:cantSplit/>
        </w:trPr>
        <w:tc>
          <w:tcPr>
            <w:tcW w:w="24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5E08CE" w14:textId="77777777" w:rsidR="00AA3CE4" w:rsidRDefault="00000000">
            <w:pPr>
              <w:spacing w:after="0" w:line="259" w:lineRule="auto"/>
            </w:pPr>
            <w:r>
              <w:rPr>
                <w:b/>
                <w:color w:val="222222"/>
                <w:sz w:val="18"/>
              </w:rPr>
              <w:t>Hβ-total, blue, core, red analysis</w:t>
            </w:r>
          </w:p>
        </w:tc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84A1DF" w14:textId="77777777" w:rsidR="00AA3CE4" w:rsidRDefault="00000000">
            <w:pPr>
              <w:spacing w:after="0" w:line="259" w:lineRule="auto"/>
            </w:pPr>
            <w:r>
              <w:rPr>
                <w:color w:val="222222"/>
                <w:sz w:val="18"/>
              </w:rPr>
              <w:t>Feasible but not completed</w:t>
            </w:r>
          </w:p>
        </w:tc>
        <w:tc>
          <w:tcPr>
            <w:tcW w:w="44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42DC74" w14:textId="77777777" w:rsidR="00AA3CE4" w:rsidRDefault="00000000">
            <w:pPr>
              <w:spacing w:after="0" w:line="259" w:lineRule="auto"/>
            </w:pPr>
            <w:r>
              <w:rPr>
                <w:color w:val="222222"/>
                <w:sz w:val="18"/>
              </w:rPr>
              <w:t>The integrated Hβ curve exists, but the current principal analysis substitutes F5100 for total Hβ.</w:t>
            </w:r>
          </w:p>
        </w:tc>
      </w:tr>
      <w:tr w:rsidR="00AA3CE4" w14:paraId="05804B9E" w14:textId="77777777">
        <w:trPr>
          <w:cantSplit/>
        </w:trPr>
        <w:tc>
          <w:tcPr>
            <w:tcW w:w="245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A78A3A" w14:textId="77777777" w:rsidR="00AA3CE4" w:rsidRDefault="00000000">
            <w:pPr>
              <w:spacing w:after="0" w:line="259" w:lineRule="auto"/>
            </w:pPr>
            <w:r>
              <w:rPr>
                <w:b/>
                <w:color w:val="222222"/>
                <w:sz w:val="18"/>
              </w:rPr>
              <w:t>Plot every individual SURD atom</w:t>
            </w:r>
          </w:p>
        </w:tc>
        <w:tc>
          <w:tcPr>
            <w:tcW w:w="250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6E8CD7" w14:textId="77777777" w:rsidR="00AA3CE4" w:rsidRDefault="00000000">
            <w:pPr>
              <w:spacing w:after="0" w:line="259" w:lineRule="auto"/>
            </w:pPr>
            <w:r>
              <w:rPr>
                <w:color w:val="222222"/>
                <w:sz w:val="18"/>
              </w:rPr>
              <w:t>Feasible but not implemented in the primary plots</w:t>
            </w:r>
          </w:p>
        </w:tc>
        <w:tc>
          <w:tcPr>
            <w:tcW w:w="441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1DEFAB" w14:textId="77777777" w:rsidR="00AA3CE4" w:rsidRDefault="00000000">
            <w:pPr>
              <w:spacing w:after="0" w:line="259" w:lineRule="auto"/>
            </w:pPr>
            <w:r>
              <w:rPr>
                <w:color w:val="222222"/>
                <w:sz w:val="18"/>
              </w:rPr>
              <w:t>Current figures aggregate total redundancy and total synergy rather than showing every atom.</w:t>
            </w:r>
          </w:p>
        </w:tc>
      </w:tr>
      <w:tr w:rsidR="00AA3CE4" w14:paraId="6F7AF8E4" w14:textId="77777777">
        <w:trPr>
          <w:cantSplit/>
        </w:trPr>
        <w:tc>
          <w:tcPr>
            <w:tcW w:w="24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E18D5E" w14:textId="77777777" w:rsidR="00AA3CE4" w:rsidRDefault="00000000">
            <w:pPr>
              <w:spacing w:after="0" w:line="259" w:lineRule="auto"/>
            </w:pPr>
            <w:r>
              <w:rPr>
                <w:b/>
                <w:color w:val="222222"/>
                <w:sz w:val="18"/>
              </w:rPr>
              <w:t>Different lag for each predictor</w:t>
            </w:r>
          </w:p>
        </w:tc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F925FD" w14:textId="77777777" w:rsidR="00AA3CE4" w:rsidRDefault="00000000">
            <w:pPr>
              <w:spacing w:after="0" w:line="259" w:lineRule="auto"/>
            </w:pPr>
            <w:r>
              <w:rPr>
                <w:color w:val="222222"/>
                <w:sz w:val="18"/>
              </w:rPr>
              <w:t>Feasible, new implementation required</w:t>
            </w:r>
          </w:p>
        </w:tc>
        <w:tc>
          <w:tcPr>
            <w:tcW w:w="44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3348C1" w14:textId="77777777" w:rsidR="00AA3CE4" w:rsidRDefault="00000000">
            <w:pPr>
              <w:spacing w:after="0" w:line="259" w:lineRule="auto"/>
            </w:pPr>
            <w:r>
              <w:rPr>
                <w:color w:val="222222"/>
                <w:sz w:val="18"/>
              </w:rPr>
              <w:t>A carefully selected set of unequal-lag configurations is reasonable. An exhaustive multidimensional search would be statistically and computationally problematic.</w:t>
            </w:r>
          </w:p>
        </w:tc>
      </w:tr>
      <w:tr w:rsidR="00AA3CE4" w14:paraId="79A892C5" w14:textId="77777777">
        <w:trPr>
          <w:cantSplit/>
        </w:trPr>
        <w:tc>
          <w:tcPr>
            <w:tcW w:w="245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AB286E" w14:textId="77777777" w:rsidR="00AA3CE4" w:rsidRDefault="00000000">
            <w:pPr>
              <w:spacing w:after="0" w:line="259" w:lineRule="auto"/>
            </w:pPr>
            <w:r>
              <w:rPr>
                <w:b/>
                <w:color w:val="222222"/>
                <w:sz w:val="18"/>
              </w:rPr>
              <w:t>Season-resolved 2015-2023 Xi analysis</w:t>
            </w:r>
          </w:p>
        </w:tc>
        <w:tc>
          <w:tcPr>
            <w:tcW w:w="250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3AE97D" w14:textId="245225CD" w:rsidR="00AA3CE4" w:rsidRDefault="00000000">
            <w:pPr>
              <w:spacing w:after="0" w:line="259" w:lineRule="auto"/>
            </w:pPr>
            <w:r w:rsidRPr="00C04598">
              <w:rPr>
                <w:color w:val="EE0000"/>
                <w:sz w:val="18"/>
              </w:rPr>
              <w:t>Not possible with the current local data</w:t>
            </w:r>
            <w:r w:rsidR="00C04598" w:rsidRPr="00C04598">
              <w:rPr>
                <w:color w:val="EE0000"/>
                <w:sz w:val="18"/>
              </w:rPr>
              <w:t xml:space="preserve"> </w:t>
            </w:r>
          </w:p>
        </w:tc>
        <w:tc>
          <w:tcPr>
            <w:tcW w:w="441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1C3EF7" w14:textId="77777777" w:rsidR="00AA3CE4" w:rsidRDefault="00000000">
            <w:pPr>
              <w:spacing w:after="0" w:line="259" w:lineRule="auto"/>
            </w:pPr>
            <w:r>
              <w:rPr>
                <w:color w:val="222222"/>
                <w:sz w:val="18"/>
              </w:rPr>
              <w:t>The local velocity-resolved profiles cover 1988-1993, not the 2015-2023 seasons discussed by Xi et al.</w:t>
            </w:r>
          </w:p>
        </w:tc>
      </w:tr>
      <w:tr w:rsidR="00AA3CE4" w14:paraId="5F821374" w14:textId="77777777">
        <w:trPr>
          <w:cantSplit/>
        </w:trPr>
        <w:tc>
          <w:tcPr>
            <w:tcW w:w="24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13984F" w14:textId="77777777" w:rsidR="00AA3CE4" w:rsidRDefault="00000000">
            <w:pPr>
              <w:spacing w:after="0" w:line="259" w:lineRule="auto"/>
            </w:pPr>
            <w:r>
              <w:rPr>
                <w:b/>
                <w:color w:val="222222"/>
                <w:sz w:val="18"/>
              </w:rPr>
              <w:t>Add UV and X-ray predictors</w:t>
            </w:r>
          </w:p>
        </w:tc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C6FB92" w14:textId="77777777" w:rsidR="00AA3CE4" w:rsidRDefault="00000000">
            <w:pPr>
              <w:spacing w:after="0" w:line="259" w:lineRule="auto"/>
            </w:pPr>
            <w:r w:rsidRPr="00C04598">
              <w:rPr>
                <w:color w:val="FFC000"/>
                <w:sz w:val="18"/>
              </w:rPr>
              <w:t>Only conditionally possible</w:t>
            </w:r>
          </w:p>
        </w:tc>
        <w:tc>
          <w:tcPr>
            <w:tcW w:w="44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ADE6F5" w14:textId="77777777" w:rsidR="00AA3CE4" w:rsidRDefault="00000000">
            <w:pPr>
              <w:spacing w:after="0" w:line="259" w:lineRule="auto"/>
            </w:pPr>
            <w:r>
              <w:rPr>
                <w:color w:val="222222"/>
                <w:sz w:val="18"/>
              </w:rPr>
              <w:t>They must overlap the same object, season, and observation window. The historical Hβ dataset lacks sufficiently dense simultaneous UV/X-ray coverage.</w:t>
            </w:r>
          </w:p>
        </w:tc>
      </w:tr>
      <w:tr w:rsidR="00AA3CE4" w14:paraId="0B7884F5" w14:textId="77777777">
        <w:trPr>
          <w:cantSplit/>
        </w:trPr>
        <w:tc>
          <w:tcPr>
            <w:tcW w:w="245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3129CD" w14:textId="77777777" w:rsidR="00AA3CE4" w:rsidRDefault="00000000">
            <w:pPr>
              <w:spacing w:after="0" w:line="259" w:lineRule="auto"/>
            </w:pPr>
            <w:r>
              <w:rPr>
                <w:b/>
                <w:color w:val="222222"/>
                <w:sz w:val="18"/>
              </w:rPr>
              <w:t>Demonstrate that ‘causal discovery is essential’</w:t>
            </w:r>
          </w:p>
        </w:tc>
        <w:tc>
          <w:tcPr>
            <w:tcW w:w="250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1D5D17" w14:textId="77777777" w:rsidR="00AA3CE4" w:rsidRDefault="00000000">
            <w:pPr>
              <w:spacing w:after="0" w:line="259" w:lineRule="auto"/>
            </w:pPr>
            <w:r w:rsidRPr="00C04598">
              <w:rPr>
                <w:color w:val="EE0000"/>
                <w:sz w:val="18"/>
              </w:rPr>
              <w:t>Not supportable as written</w:t>
            </w:r>
          </w:p>
        </w:tc>
        <w:tc>
          <w:tcPr>
            <w:tcW w:w="441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88F6FF" w14:textId="77777777" w:rsidR="00AA3CE4" w:rsidRDefault="00000000">
            <w:pPr>
              <w:spacing w:after="0" w:line="259" w:lineRule="auto"/>
            </w:pPr>
            <w:r>
              <w:rPr>
                <w:color w:val="222222"/>
                <w:sz w:val="18"/>
              </w:rPr>
              <w:t>The present results support SURD as an exploratory predictive-information framework, not proof of physical causality.</w:t>
            </w:r>
          </w:p>
        </w:tc>
      </w:tr>
    </w:tbl>
    <w:p w14:paraId="29916945" w14:textId="77777777" w:rsidR="002317E5" w:rsidRDefault="002317E5"/>
    <w:sectPr w:rsidR="002317E5" w:rsidSect="00034616">
      <w:headerReference w:type="default" r:id="rId8"/>
      <w:footerReference w:type="default" r:id="rId9"/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89402C2" w14:textId="77777777" w:rsidR="002317E5" w:rsidRDefault="002317E5">
      <w:pPr>
        <w:spacing w:after="0" w:line="240" w:lineRule="auto"/>
      </w:pPr>
      <w:r>
        <w:separator/>
      </w:r>
    </w:p>
  </w:endnote>
  <w:endnote w:type="continuationSeparator" w:id="0">
    <w:p w14:paraId="6F7BE095" w14:textId="77777777" w:rsidR="002317E5" w:rsidRDefault="002317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B3F7FAE" w14:textId="77777777" w:rsidR="00AA3CE4" w:rsidRDefault="00000000">
    <w:pPr>
      <w:pStyle w:val="Footer"/>
      <w:jc w:val="right"/>
    </w:pPr>
    <w:r>
      <w:rPr>
        <w:color w:val="5B6573"/>
        <w:sz w:val="18"/>
      </w:rPr>
      <w:t xml:space="preserve">Page </w:t>
    </w:r>
    <w:r>
      <w:rPr>
        <w:color w:val="5B6573"/>
        <w:sz w:val="18"/>
      </w:rPr>
      <w:fldChar w:fldCharType="begin"/>
    </w:r>
    <w:r>
      <w:rPr>
        <w:color w:val="5B6573"/>
        <w:sz w:val="18"/>
      </w:rPr>
      <w:instrText>PAGE</w:instrText>
    </w:r>
    <w:r w:rsidR="00C04598">
      <w:rPr>
        <w:color w:val="5B6573"/>
        <w:sz w:val="18"/>
      </w:rPr>
      <w:fldChar w:fldCharType="separate"/>
    </w:r>
    <w:r w:rsidR="00C04598">
      <w:rPr>
        <w:noProof/>
        <w:color w:val="5B6573"/>
        <w:sz w:val="18"/>
      </w:rPr>
      <w:t>1</w:t>
    </w:r>
    <w:r>
      <w:rPr>
        <w:color w:val="5B6573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140ECE4" w14:textId="77777777" w:rsidR="002317E5" w:rsidRDefault="002317E5">
      <w:pPr>
        <w:spacing w:after="0" w:line="240" w:lineRule="auto"/>
      </w:pPr>
      <w:r>
        <w:separator/>
      </w:r>
    </w:p>
  </w:footnote>
  <w:footnote w:type="continuationSeparator" w:id="0">
    <w:p w14:paraId="57582BA4" w14:textId="77777777" w:rsidR="002317E5" w:rsidRDefault="002317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8DBDD2B" w14:textId="77777777" w:rsidR="00AA3CE4" w:rsidRDefault="00000000">
    <w:pPr>
      <w:pStyle w:val="Header"/>
    </w:pPr>
    <w:r>
      <w:rPr>
        <w:b/>
        <w:color w:val="5B6573"/>
        <w:sz w:val="17"/>
      </w:rPr>
      <w:t xml:space="preserve">SURD </w:t>
    </w:r>
    <w:proofErr w:type="gramStart"/>
    <w:r>
      <w:rPr>
        <w:b/>
        <w:color w:val="5B6573"/>
        <w:sz w:val="17"/>
      </w:rPr>
      <w:t>PROJECT  |</w:t>
    </w:r>
    <w:proofErr w:type="gramEnd"/>
    <w:r>
      <w:rPr>
        <w:b/>
        <w:color w:val="5B6573"/>
        <w:sz w:val="17"/>
      </w:rPr>
      <w:t xml:space="preserve">  FEASIBILITY ASSESSMENT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9213795">
    <w:abstractNumId w:val="8"/>
  </w:num>
  <w:num w:numId="2" w16cid:durableId="391463071">
    <w:abstractNumId w:val="6"/>
  </w:num>
  <w:num w:numId="3" w16cid:durableId="288971172">
    <w:abstractNumId w:val="5"/>
  </w:num>
  <w:num w:numId="4" w16cid:durableId="843132495">
    <w:abstractNumId w:val="4"/>
  </w:num>
  <w:num w:numId="5" w16cid:durableId="75904693">
    <w:abstractNumId w:val="7"/>
  </w:num>
  <w:num w:numId="6" w16cid:durableId="1323197861">
    <w:abstractNumId w:val="3"/>
  </w:num>
  <w:num w:numId="7" w16cid:durableId="1070808044">
    <w:abstractNumId w:val="2"/>
  </w:num>
  <w:num w:numId="8" w16cid:durableId="1364092433">
    <w:abstractNumId w:val="1"/>
  </w:num>
  <w:num w:numId="9" w16cid:durableId="112080580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17E5"/>
    <w:rsid w:val="0029639D"/>
    <w:rsid w:val="00326F90"/>
    <w:rsid w:val="00AA1D8D"/>
    <w:rsid w:val="00AA3CE4"/>
    <w:rsid w:val="00B47730"/>
    <w:rsid w:val="00C04598"/>
    <w:rsid w:val="00CB0664"/>
    <w:rsid w:val="00DC62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BB6A74"/>
  <w14:defaultImageDpi w14:val="300"/>
  <w15:docId w15:val="{40F5FF37-0B15-2449-B44E-6B1A1B4B8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/>
      <w:color w:val="1F4D7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280"/>
    </w:pPr>
    <w:rPr>
      <w:rFonts w:asciiTheme="majorHAnsi" w:eastAsiaTheme="majorEastAsia" w:hAnsiTheme="majorHAnsi" w:cstheme="majorBidi"/>
      <w:i/>
      <w:iCs/>
      <w:color w:val="5B6573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251</Words>
  <Characters>1433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SURD Feasibility Assessment</dc:title>
  <dc:subject>Feasibility assessment of requested SURD analyses</dc:subject>
  <dc:creator>SURD Project</dc:creator>
  <cp:keywords>SURD, feasibility, AGN, causal information</cp:keywords>
  <dc:description>generated by python-docx</dc:description>
  <cp:lastModifiedBy>Mitra, Ayan</cp:lastModifiedBy>
  <cp:revision>2</cp:revision>
  <dcterms:created xsi:type="dcterms:W3CDTF">2013-12-23T23:15:00Z</dcterms:created>
  <dcterms:modified xsi:type="dcterms:W3CDTF">2026-07-21T13:41:00Z</dcterms:modified>
  <cp:category/>
</cp:coreProperties>
</file>