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6559" w14:textId="58C61618" w:rsidR="00FD4B3A" w:rsidRPr="001500C0" w:rsidRDefault="00E9642A" w:rsidP="001E723D">
      <w:pPr>
        <w:ind w:left="360"/>
        <w:jc w:val="center"/>
        <w:rPr>
          <w:rFonts w:ascii="Times New Roman" w:hAnsi="Times New Roman" w:cs="Times New Roman"/>
          <w:sz w:val="32"/>
          <w:szCs w:val="32"/>
          <w:lang w:val="en-US"/>
        </w:rPr>
      </w:pPr>
      <w:r w:rsidRPr="001500C0">
        <w:rPr>
          <w:rFonts w:ascii="Times New Roman" w:hAnsi="Times New Roman" w:cs="Times New Roman"/>
          <w:sz w:val="32"/>
          <w:szCs w:val="32"/>
          <w:lang w:val="en-US"/>
        </w:rPr>
        <w:t>Research targets and tasks to accomplish</w:t>
      </w:r>
    </w:p>
    <w:p w14:paraId="15614167" w14:textId="77777777" w:rsidR="00E9642A" w:rsidRDefault="00E9642A" w:rsidP="001E723D">
      <w:pPr>
        <w:ind w:left="360"/>
        <w:jc w:val="both"/>
        <w:rPr>
          <w:rFonts w:ascii="Times New Roman" w:hAnsi="Times New Roman" w:cs="Times New Roman"/>
          <w:sz w:val="24"/>
          <w:szCs w:val="24"/>
          <w:lang w:val="en-US"/>
        </w:rPr>
      </w:pPr>
    </w:p>
    <w:p w14:paraId="3A251F53" w14:textId="1626D923" w:rsidR="00E9642A" w:rsidRDefault="00E9642A" w:rsidP="001E723D">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We will demonstrate that causal discovery is essential for AGNs analysis</w:t>
      </w:r>
    </w:p>
    <w:p w14:paraId="13827CC1" w14:textId="6B661DBC" w:rsidR="00E9642A" w:rsidRDefault="00E9642A" w:rsidP="001E723D">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have tested the python code you have sent me </w:t>
      </w:r>
      <w:r w:rsidR="002C1947">
        <w:rPr>
          <w:rFonts w:ascii="Times New Roman" w:hAnsi="Times New Roman" w:cs="Times New Roman"/>
          <w:sz w:val="24"/>
          <w:szCs w:val="24"/>
          <w:lang w:val="en-US"/>
        </w:rPr>
        <w:t>but you must also be sure what</w:t>
      </w:r>
      <w:r w:rsidR="004C4C0D">
        <w:rPr>
          <w:rFonts w:ascii="Times New Roman" w:hAnsi="Times New Roman" w:cs="Times New Roman"/>
          <w:sz w:val="24"/>
          <w:szCs w:val="24"/>
          <w:lang w:val="en-US"/>
        </w:rPr>
        <w:t xml:space="preserve"> exactly</w:t>
      </w:r>
      <w:r w:rsidR="002C1947">
        <w:rPr>
          <w:rFonts w:ascii="Times New Roman" w:hAnsi="Times New Roman" w:cs="Times New Roman"/>
          <w:sz w:val="24"/>
          <w:szCs w:val="24"/>
          <w:lang w:val="en-US"/>
        </w:rPr>
        <w:t xml:space="preserve"> your program calculates. One way is to go to the code and see t</w:t>
      </w:r>
      <w:r w:rsidR="004C4C0D">
        <w:rPr>
          <w:rFonts w:ascii="Times New Roman" w:hAnsi="Times New Roman" w:cs="Times New Roman"/>
          <w:sz w:val="24"/>
          <w:szCs w:val="24"/>
          <w:lang w:val="en-US"/>
        </w:rPr>
        <w:t>h</w:t>
      </w:r>
      <w:r w:rsidR="002C1947">
        <w:rPr>
          <w:rFonts w:ascii="Times New Roman" w:hAnsi="Times New Roman" w:cs="Times New Roman"/>
          <w:sz w:val="24"/>
          <w:szCs w:val="24"/>
          <w:lang w:val="en-US"/>
        </w:rPr>
        <w:t>e functions etc. which I think it is hard</w:t>
      </w:r>
      <w:r w:rsidR="004C4C0D">
        <w:rPr>
          <w:rFonts w:ascii="Times New Roman" w:hAnsi="Times New Roman" w:cs="Times New Roman"/>
          <w:sz w:val="24"/>
          <w:szCs w:val="24"/>
          <w:lang w:val="en-US"/>
        </w:rPr>
        <w:t xml:space="preserve"> but it is possible</w:t>
      </w:r>
      <w:r w:rsidR="002C1947">
        <w:rPr>
          <w:rFonts w:ascii="Times New Roman" w:hAnsi="Times New Roman" w:cs="Times New Roman"/>
          <w:sz w:val="24"/>
          <w:szCs w:val="24"/>
          <w:lang w:val="en-US"/>
        </w:rPr>
        <w:t xml:space="preserve">.  When I was testing your python, AI was calculating different things each time without normalization etc. So, in order to be sure </w:t>
      </w:r>
      <w:r w:rsidR="004C4C0D">
        <w:rPr>
          <w:rFonts w:ascii="Times New Roman" w:hAnsi="Times New Roman" w:cs="Times New Roman"/>
          <w:sz w:val="24"/>
          <w:szCs w:val="24"/>
          <w:lang w:val="en-US"/>
        </w:rPr>
        <w:t xml:space="preserve">you </w:t>
      </w:r>
      <w:proofErr w:type="spellStart"/>
      <w:r w:rsidR="004C4C0D">
        <w:rPr>
          <w:rFonts w:ascii="Times New Roman" w:hAnsi="Times New Roman" w:cs="Times New Roman"/>
          <w:sz w:val="24"/>
          <w:szCs w:val="24"/>
          <w:lang w:val="en-US"/>
        </w:rPr>
        <w:t>sould</w:t>
      </w:r>
      <w:proofErr w:type="spellEnd"/>
      <w:r w:rsidR="004C4C0D">
        <w:rPr>
          <w:rFonts w:ascii="Times New Roman" w:hAnsi="Times New Roman" w:cs="Times New Roman"/>
          <w:sz w:val="24"/>
          <w:szCs w:val="24"/>
          <w:lang w:val="en-US"/>
        </w:rPr>
        <w:t xml:space="preserve"> prompt </w:t>
      </w:r>
      <w:r w:rsidR="00C97C94">
        <w:rPr>
          <w:rFonts w:ascii="Times New Roman" w:hAnsi="Times New Roman" w:cs="Times New Roman"/>
          <w:sz w:val="24"/>
          <w:szCs w:val="24"/>
          <w:lang w:val="en-US"/>
        </w:rPr>
        <w:t xml:space="preserve"> AI </w:t>
      </w:r>
      <w:r w:rsidR="004C4C0D">
        <w:rPr>
          <w:rFonts w:ascii="Times New Roman" w:hAnsi="Times New Roman" w:cs="Times New Roman"/>
          <w:sz w:val="24"/>
          <w:szCs w:val="24"/>
          <w:lang w:val="en-US"/>
        </w:rPr>
        <w:t xml:space="preserve">first </w:t>
      </w:r>
      <w:r w:rsidR="00C97C94">
        <w:rPr>
          <w:rFonts w:ascii="Times New Roman" w:hAnsi="Times New Roman" w:cs="Times New Roman"/>
          <w:sz w:val="24"/>
          <w:szCs w:val="24"/>
          <w:lang w:val="en-US"/>
        </w:rPr>
        <w:t>to read</w:t>
      </w:r>
      <w:r w:rsidR="002C1947">
        <w:rPr>
          <w:rFonts w:ascii="Times New Roman" w:hAnsi="Times New Roman" w:cs="Times New Roman"/>
          <w:sz w:val="24"/>
          <w:szCs w:val="24"/>
          <w:lang w:val="en-US"/>
        </w:rPr>
        <w:t xml:space="preserve">  the thesis of Al</w:t>
      </w:r>
      <w:r w:rsidR="00C97C94">
        <w:rPr>
          <w:rFonts w:ascii="Times New Roman" w:hAnsi="Times New Roman" w:cs="Times New Roman"/>
          <w:sz w:val="24"/>
          <w:szCs w:val="24"/>
          <w:lang w:val="en-US"/>
        </w:rPr>
        <w:t>varo Martin</w:t>
      </w:r>
      <w:r w:rsidR="002C1947">
        <w:rPr>
          <w:rFonts w:ascii="Times New Roman" w:hAnsi="Times New Roman" w:cs="Times New Roman"/>
          <w:sz w:val="24"/>
          <w:szCs w:val="24"/>
          <w:lang w:val="en-US"/>
        </w:rPr>
        <w:t>ez</w:t>
      </w:r>
      <w:r w:rsidR="004C4C0D" w:rsidRPr="004C4C0D">
        <w:t xml:space="preserve"> </w:t>
      </w:r>
      <w:r w:rsidR="009D4F79">
        <w:t>. After to define which are the time series. After to tell that you want as target this variable and the rest predictors</w:t>
      </w:r>
      <w:r w:rsidR="00B72531">
        <w:t xml:space="preserve"> and tell also that you want the same time lag for all predictors</w:t>
      </w:r>
      <w:r w:rsidR="009D4F79">
        <w:t xml:space="preserve">. After to calculate </w:t>
      </w:r>
      <w:r w:rsidR="004C4C0D" w:rsidRPr="004C4C0D">
        <w:rPr>
          <w:rFonts w:ascii="Times New Roman" w:hAnsi="Times New Roman" w:cs="Times New Roman"/>
          <w:sz w:val="24"/>
          <w:szCs w:val="24"/>
          <w:lang w:val="en-US"/>
        </w:rPr>
        <w:t>specific mutual information</w:t>
      </w:r>
      <w:r w:rsidR="009D4F79">
        <w:rPr>
          <w:rFonts w:ascii="Times New Roman" w:hAnsi="Times New Roman" w:cs="Times New Roman"/>
          <w:sz w:val="24"/>
          <w:szCs w:val="24"/>
          <w:lang w:val="en-US"/>
        </w:rPr>
        <w:t xml:space="preserve"> i.e.</w:t>
      </w:r>
      <w:r w:rsidR="004C4C0D" w:rsidRPr="004C4C0D">
        <w:rPr>
          <w:rFonts w:ascii="Times New Roman" w:hAnsi="Times New Roman" w:cs="Times New Roman"/>
          <w:sz w:val="24"/>
          <w:szCs w:val="24"/>
          <w:lang w:val="en-US"/>
        </w:rPr>
        <w:t xml:space="preserve">  Redundant, unique, and synergistic causalities</w:t>
      </w:r>
      <w:r w:rsidR="009D4F79">
        <w:rPr>
          <w:rFonts w:ascii="Times New Roman" w:hAnsi="Times New Roman" w:cs="Times New Roman"/>
          <w:sz w:val="24"/>
          <w:szCs w:val="24"/>
          <w:lang w:val="en-US"/>
        </w:rPr>
        <w:t xml:space="preserve"> from </w:t>
      </w:r>
      <w:r w:rsidR="004C4C0D" w:rsidRPr="004C4C0D">
        <w:rPr>
          <w:rFonts w:ascii="Times New Roman" w:hAnsi="Times New Roman" w:cs="Times New Roman"/>
          <w:sz w:val="24"/>
          <w:szCs w:val="24"/>
          <w:lang w:val="en-US"/>
        </w:rPr>
        <w:t xml:space="preserve"> </w:t>
      </w:r>
      <w:r w:rsidR="009D4F79" w:rsidRPr="009D4F79">
        <w:rPr>
          <w:rFonts w:ascii="Times New Roman" w:hAnsi="Times New Roman" w:cs="Times New Roman"/>
          <w:sz w:val="24"/>
          <w:szCs w:val="24"/>
          <w:lang w:val="en-US"/>
        </w:rPr>
        <w:t>3.16</w:t>
      </w:r>
      <w:r w:rsidR="009D4F79">
        <w:rPr>
          <w:rFonts w:ascii="Times New Roman" w:hAnsi="Times New Roman" w:cs="Times New Roman"/>
          <w:sz w:val="24"/>
          <w:szCs w:val="24"/>
          <w:lang w:val="en-US"/>
        </w:rPr>
        <w:t xml:space="preserve"> </w:t>
      </w:r>
      <w:proofErr w:type="spellStart"/>
      <w:r w:rsidR="009D4F79" w:rsidRPr="009D4F79">
        <w:rPr>
          <w:rFonts w:ascii="Times New Roman" w:hAnsi="Times New Roman" w:cs="Times New Roman"/>
          <w:sz w:val="24"/>
          <w:szCs w:val="24"/>
          <w:lang w:val="en-US"/>
        </w:rPr>
        <w:t>a</w:t>
      </w:r>
      <w:r w:rsidR="009D4F79">
        <w:rPr>
          <w:rFonts w:ascii="Times New Roman" w:hAnsi="Times New Roman" w:cs="Times New Roman"/>
          <w:sz w:val="24"/>
          <w:szCs w:val="24"/>
          <w:lang w:val="en-US"/>
        </w:rPr>
        <w:t>,</w:t>
      </w:r>
      <w:r w:rsidR="009D4F79" w:rsidRPr="009D4F79">
        <w:rPr>
          <w:rFonts w:ascii="Times New Roman" w:hAnsi="Times New Roman" w:cs="Times New Roman"/>
          <w:sz w:val="24"/>
          <w:szCs w:val="24"/>
          <w:lang w:val="en-US"/>
        </w:rPr>
        <w:t>b</w:t>
      </w:r>
      <w:r w:rsidR="009D4F79">
        <w:rPr>
          <w:rFonts w:ascii="Times New Roman" w:hAnsi="Times New Roman" w:cs="Times New Roman"/>
          <w:sz w:val="24"/>
          <w:szCs w:val="24"/>
          <w:lang w:val="en-US"/>
        </w:rPr>
        <w:t>,</w:t>
      </w:r>
      <w:r w:rsidR="009D4F79" w:rsidRPr="009D4F79">
        <w:rPr>
          <w:rFonts w:ascii="Times New Roman" w:hAnsi="Times New Roman" w:cs="Times New Roman"/>
          <w:sz w:val="24"/>
          <w:szCs w:val="24"/>
          <w:lang w:val="en-US"/>
        </w:rPr>
        <w:t>c</w:t>
      </w:r>
      <w:proofErr w:type="spellEnd"/>
      <w:r w:rsidR="009D4F79" w:rsidRPr="009D4F79">
        <w:rPr>
          <w:rFonts w:ascii="Times New Roman" w:hAnsi="Times New Roman" w:cs="Times New Roman"/>
          <w:sz w:val="24"/>
          <w:szCs w:val="24"/>
          <w:lang w:val="en-US"/>
        </w:rPr>
        <w:t xml:space="preserve"> and 3.17 equat</w:t>
      </w:r>
      <w:r w:rsidR="009D4F79">
        <w:rPr>
          <w:rFonts w:ascii="Times New Roman" w:hAnsi="Times New Roman" w:cs="Times New Roman"/>
          <w:sz w:val="24"/>
          <w:szCs w:val="24"/>
          <w:lang w:val="en-US"/>
        </w:rPr>
        <w:t>i</w:t>
      </w:r>
      <w:r w:rsidR="009D4F79" w:rsidRPr="009D4F79">
        <w:rPr>
          <w:rFonts w:ascii="Times New Roman" w:hAnsi="Times New Roman" w:cs="Times New Roman"/>
          <w:sz w:val="24"/>
          <w:szCs w:val="24"/>
          <w:lang w:val="en-US"/>
        </w:rPr>
        <w:t xml:space="preserve">ons  </w:t>
      </w:r>
      <w:r w:rsidR="004C4C0D" w:rsidRPr="004C4C0D">
        <w:rPr>
          <w:rFonts w:ascii="Times New Roman" w:hAnsi="Times New Roman" w:cs="Times New Roman"/>
          <w:sz w:val="24"/>
          <w:szCs w:val="24"/>
          <w:lang w:val="en-US"/>
        </w:rPr>
        <w:t xml:space="preserve"> and also  the causal leakage</w:t>
      </w:r>
      <w:r w:rsidR="009D4F79">
        <w:rPr>
          <w:rFonts w:ascii="Times New Roman" w:hAnsi="Times New Roman" w:cs="Times New Roman"/>
          <w:sz w:val="24"/>
          <w:szCs w:val="24"/>
          <w:lang w:val="en-US"/>
        </w:rPr>
        <w:t xml:space="preserve"> from </w:t>
      </w:r>
      <w:r w:rsidR="00B604D7">
        <w:rPr>
          <w:rFonts w:ascii="Times New Roman" w:hAnsi="Times New Roman" w:cs="Times New Roman"/>
          <w:sz w:val="24"/>
          <w:szCs w:val="24"/>
          <w:lang w:val="en-US"/>
        </w:rPr>
        <w:t>3.6 equation</w:t>
      </w:r>
      <w:r w:rsidR="002C1947">
        <w:rPr>
          <w:rFonts w:ascii="Times New Roman" w:hAnsi="Times New Roman" w:cs="Times New Roman"/>
          <w:sz w:val="24"/>
          <w:szCs w:val="24"/>
          <w:lang w:val="en-US"/>
        </w:rPr>
        <w:t xml:space="preserve">.  </w:t>
      </w:r>
      <w:r w:rsidR="004C4C0D">
        <w:rPr>
          <w:rFonts w:ascii="Times New Roman" w:hAnsi="Times New Roman" w:cs="Times New Roman"/>
          <w:sz w:val="24"/>
          <w:szCs w:val="24"/>
          <w:lang w:val="en-US"/>
        </w:rPr>
        <w:t xml:space="preserve">After normalize the calculated specific mutual information  </w:t>
      </w:r>
      <w:r w:rsidR="004C4C0D" w:rsidRPr="004C4C0D">
        <w:rPr>
          <w:rFonts w:ascii="Times New Roman" w:hAnsi="Times New Roman" w:cs="Times New Roman"/>
          <w:sz w:val="24"/>
          <w:szCs w:val="24"/>
          <w:lang w:val="en-US"/>
        </w:rPr>
        <w:t>Redundant, unique, and synergistic causalities</w:t>
      </w:r>
      <w:r w:rsidR="004C4C0D">
        <w:rPr>
          <w:rFonts w:ascii="Times New Roman" w:hAnsi="Times New Roman" w:cs="Times New Roman"/>
          <w:sz w:val="24"/>
          <w:szCs w:val="24"/>
          <w:lang w:val="en-US"/>
        </w:rPr>
        <w:t xml:space="preserve">  and also  the causal leakage calculated  as </w:t>
      </w:r>
      <w:r w:rsidR="00B604D7">
        <w:rPr>
          <w:rFonts w:ascii="Times New Roman" w:hAnsi="Times New Roman" w:cs="Times New Roman"/>
          <w:sz w:val="24"/>
          <w:szCs w:val="24"/>
          <w:lang w:val="en-US"/>
        </w:rPr>
        <w:t xml:space="preserve">it has been done </w:t>
      </w:r>
      <w:r w:rsidR="004C4C0D">
        <w:rPr>
          <w:rFonts w:ascii="Times New Roman" w:hAnsi="Times New Roman" w:cs="Times New Roman"/>
          <w:sz w:val="24"/>
          <w:szCs w:val="24"/>
          <w:lang w:val="en-US"/>
        </w:rPr>
        <w:t>in Figure</w:t>
      </w:r>
      <w:r w:rsidR="00B604D7">
        <w:rPr>
          <w:rFonts w:ascii="Times New Roman" w:hAnsi="Times New Roman" w:cs="Times New Roman"/>
          <w:sz w:val="24"/>
          <w:szCs w:val="24"/>
          <w:lang w:val="en-US"/>
        </w:rPr>
        <w:t xml:space="preserve"> 4.1</w:t>
      </w:r>
      <w:r w:rsidR="004C4C0D">
        <w:rPr>
          <w:rFonts w:ascii="Times New Roman" w:hAnsi="Times New Roman" w:cs="Times New Roman"/>
          <w:sz w:val="24"/>
          <w:szCs w:val="24"/>
          <w:lang w:val="en-US"/>
        </w:rPr>
        <w:t xml:space="preserve"> </w:t>
      </w:r>
    </w:p>
    <w:p w14:paraId="6B980AD5" w14:textId="010A80A0" w:rsidR="00B72531" w:rsidRDefault="00B72531" w:rsidP="001E723D">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Give </w:t>
      </w:r>
      <w:r w:rsidR="00AF33EF">
        <w:rPr>
          <w:rFonts w:ascii="Times New Roman" w:hAnsi="Times New Roman" w:cs="Times New Roman"/>
          <w:sz w:val="24"/>
          <w:szCs w:val="24"/>
          <w:lang w:val="en-US"/>
        </w:rPr>
        <w:t xml:space="preserve">exactly </w:t>
      </w:r>
      <w:r w:rsidR="00F21B41">
        <w:rPr>
          <w:rFonts w:ascii="Times New Roman" w:hAnsi="Times New Roman" w:cs="Times New Roman"/>
          <w:sz w:val="24"/>
          <w:szCs w:val="24"/>
          <w:lang w:val="en-US"/>
        </w:rPr>
        <w:t>t</w:t>
      </w:r>
      <w:r>
        <w:rPr>
          <w:rFonts w:ascii="Times New Roman" w:hAnsi="Times New Roman" w:cs="Times New Roman"/>
          <w:sz w:val="24"/>
          <w:szCs w:val="24"/>
          <w:lang w:val="en-US"/>
        </w:rPr>
        <w:t xml:space="preserve">he same directions but now </w:t>
      </w:r>
      <w:r w:rsidR="00AF33EF">
        <w:rPr>
          <w:rFonts w:ascii="Times New Roman" w:hAnsi="Times New Roman" w:cs="Times New Roman"/>
          <w:sz w:val="24"/>
          <w:szCs w:val="24"/>
          <w:lang w:val="en-US"/>
        </w:rPr>
        <w:t xml:space="preserve">prompt AI to </w:t>
      </w:r>
      <w:r w:rsidR="007503F9">
        <w:rPr>
          <w:rFonts w:ascii="Times New Roman" w:hAnsi="Times New Roman" w:cs="Times New Roman"/>
          <w:sz w:val="24"/>
          <w:szCs w:val="24"/>
          <w:lang w:val="en-US"/>
        </w:rPr>
        <w:t>use</w:t>
      </w:r>
      <w:r w:rsidR="00F21B41">
        <w:rPr>
          <w:rFonts w:ascii="Times New Roman" w:hAnsi="Times New Roman" w:cs="Times New Roman"/>
          <w:sz w:val="24"/>
          <w:szCs w:val="24"/>
          <w:lang w:val="en-US"/>
        </w:rPr>
        <w:t xml:space="preserve"> 3.18.</w:t>
      </w:r>
      <w:r w:rsidR="00AF33EF">
        <w:rPr>
          <w:rFonts w:ascii="Times New Roman" w:hAnsi="Times New Roman" w:cs="Times New Roman"/>
          <w:sz w:val="24"/>
          <w:szCs w:val="24"/>
          <w:lang w:val="en-US"/>
        </w:rPr>
        <w:t xml:space="preserve"> in order to apply multiple time lag</w:t>
      </w:r>
      <w:r w:rsidR="00791BC4">
        <w:rPr>
          <w:rFonts w:ascii="Times New Roman" w:hAnsi="Times New Roman" w:cs="Times New Roman"/>
          <w:sz w:val="24"/>
          <w:szCs w:val="24"/>
          <w:lang w:val="en-US"/>
        </w:rPr>
        <w:t>s</w:t>
      </w:r>
      <w:r w:rsidR="00AF33EF">
        <w:rPr>
          <w:rFonts w:ascii="Times New Roman" w:hAnsi="Times New Roman" w:cs="Times New Roman"/>
          <w:sz w:val="24"/>
          <w:szCs w:val="24"/>
          <w:lang w:val="en-US"/>
        </w:rPr>
        <w:t xml:space="preserve"> for the predictors.</w:t>
      </w:r>
      <w:r w:rsidR="00F21B41">
        <w:rPr>
          <w:rFonts w:ascii="Times New Roman" w:hAnsi="Times New Roman" w:cs="Times New Roman"/>
          <w:sz w:val="24"/>
          <w:szCs w:val="24"/>
          <w:lang w:val="en-US"/>
        </w:rPr>
        <w:t xml:space="preserve"> you must also specify what time lag</w:t>
      </w:r>
      <w:r w:rsidR="007503F9">
        <w:rPr>
          <w:rFonts w:ascii="Times New Roman" w:hAnsi="Times New Roman" w:cs="Times New Roman"/>
          <w:sz w:val="24"/>
          <w:szCs w:val="24"/>
          <w:lang w:val="en-US"/>
        </w:rPr>
        <w:t xml:space="preserve"> </w:t>
      </w:r>
      <w:r w:rsidR="00F21B41">
        <w:rPr>
          <w:rFonts w:ascii="Times New Roman" w:hAnsi="Times New Roman" w:cs="Times New Roman"/>
          <w:sz w:val="24"/>
          <w:szCs w:val="24"/>
          <w:lang w:val="en-US"/>
        </w:rPr>
        <w:t>has every different predictor</w:t>
      </w:r>
    </w:p>
    <w:p w14:paraId="425B1F01" w14:textId="17399821" w:rsidR="00AE51C7" w:rsidRDefault="007B774D" w:rsidP="001E723D">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Plot all 25 different curves U, R, S</w:t>
      </w:r>
      <w:r w:rsidR="00AE51C7">
        <w:rPr>
          <w:rFonts w:ascii="Times New Roman" w:hAnsi="Times New Roman" w:cs="Times New Roman"/>
          <w:sz w:val="24"/>
          <w:szCs w:val="24"/>
          <w:lang w:val="en-US"/>
        </w:rPr>
        <w:t xml:space="preserve"> and the leakage</w:t>
      </w:r>
      <w:r>
        <w:rPr>
          <w:rFonts w:ascii="Times New Roman" w:hAnsi="Times New Roman" w:cs="Times New Roman"/>
          <w:sz w:val="24"/>
          <w:szCs w:val="24"/>
          <w:lang w:val="en-US"/>
        </w:rPr>
        <w:t xml:space="preserve"> (for 4 time</w:t>
      </w:r>
      <w:r w:rsidR="00AE51C7">
        <w:rPr>
          <w:rFonts w:ascii="Times New Roman" w:hAnsi="Times New Roman" w:cs="Times New Roman"/>
          <w:sz w:val="24"/>
          <w:szCs w:val="24"/>
          <w:lang w:val="en-US"/>
        </w:rPr>
        <w:t>se</w:t>
      </w:r>
      <w:r>
        <w:rPr>
          <w:rFonts w:ascii="Times New Roman" w:hAnsi="Times New Roman" w:cs="Times New Roman"/>
          <w:sz w:val="24"/>
          <w:szCs w:val="24"/>
          <w:lang w:val="en-US"/>
        </w:rPr>
        <w:t>ries or more</w:t>
      </w:r>
      <w:r w:rsidR="00AE51C7">
        <w:rPr>
          <w:rFonts w:ascii="Times New Roman" w:hAnsi="Times New Roman" w:cs="Times New Roman"/>
          <w:sz w:val="24"/>
          <w:szCs w:val="24"/>
          <w:lang w:val="en-US"/>
        </w:rPr>
        <w:t xml:space="preserve"> than 25</w:t>
      </w:r>
      <w:r>
        <w:rPr>
          <w:rFonts w:ascii="Times New Roman" w:hAnsi="Times New Roman" w:cs="Times New Roman"/>
          <w:sz w:val="24"/>
          <w:szCs w:val="24"/>
          <w:lang w:val="en-US"/>
        </w:rPr>
        <w:t xml:space="preserve"> if the timeseries are more than 4) and don’t forget if we have 4 variable we need to do the analysis with targets all the 4 variables separately . That’s why we get 4 different rows if there are 4 timeseries.</w:t>
      </w:r>
      <w:r w:rsidR="00AE51C7">
        <w:rPr>
          <w:rFonts w:ascii="Times New Roman" w:hAnsi="Times New Roman" w:cs="Times New Roman"/>
          <w:sz w:val="24"/>
          <w:szCs w:val="24"/>
          <w:lang w:val="en-US"/>
        </w:rPr>
        <w:t xml:space="preserve"> So when I say ROWS I will mean the different number of timeseries we have and we have to point them as targets. </w:t>
      </w:r>
    </w:p>
    <w:p w14:paraId="5C69B2E0" w14:textId="47BB82C7" w:rsidR="007B774D" w:rsidRDefault="00AE51C7" w:rsidP="001E723D">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The same analysis with 25 curves and leakage but</w:t>
      </w:r>
      <w:r w:rsidR="007B774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now for different time lags for each predictor. Reading the literature we can identify some critical time lags that we expect for blue core and red. For example the blue to have a constant time difference of its lags compare to the lags of core or blue. </w:t>
      </w:r>
    </w:p>
    <w:p w14:paraId="3BA8C1E3" w14:textId="027B3ABC" w:rsidR="00F21B41" w:rsidRPr="003C2B5C" w:rsidRDefault="00F21B41" w:rsidP="001E723D">
      <w:pPr>
        <w:pStyle w:val="ListParagraph"/>
        <w:numPr>
          <w:ilvl w:val="0"/>
          <w:numId w:val="3"/>
        </w:numPr>
        <w:jc w:val="both"/>
        <w:rPr>
          <w:rFonts w:ascii="Times New Roman" w:hAnsi="Times New Roman" w:cs="Times New Roman"/>
          <w:sz w:val="24"/>
          <w:szCs w:val="24"/>
          <w:u w:val="single"/>
          <w:lang w:val="en-US"/>
        </w:rPr>
      </w:pPr>
      <w:r w:rsidRPr="003C2B5C">
        <w:rPr>
          <w:rFonts w:ascii="Times New Roman" w:hAnsi="Times New Roman" w:cs="Times New Roman"/>
          <w:sz w:val="24"/>
          <w:szCs w:val="24"/>
          <w:u w:val="single"/>
          <w:lang w:val="en-US"/>
        </w:rPr>
        <w:t>The previous instructions concern the code . Now in what follows concern the research goals.</w:t>
      </w:r>
    </w:p>
    <w:p w14:paraId="62F0878F" w14:textId="2978917A" w:rsidR="00776325" w:rsidRDefault="00330609" w:rsidP="001E723D">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First thing to calculate is the interconnections among Hb total, Blue, Core, Red . So writing the correct prompt calculate all 25 curves and the associated normalized leakage for 4 different targets for various common lags. The results will definitely be informative. We will easily find some interesting inferences. If B, C, R cover most part of the initial total Hb I expect small leakage at zero or very small lags</w:t>
      </w:r>
      <w:r w:rsidR="00776325">
        <w:rPr>
          <w:rFonts w:ascii="Times New Roman" w:hAnsi="Times New Roman" w:cs="Times New Roman"/>
          <w:sz w:val="24"/>
          <w:szCs w:val="24"/>
          <w:lang w:val="en-US"/>
        </w:rPr>
        <w:t xml:space="preserve"> and significant </w:t>
      </w:r>
      <w:proofErr w:type="spellStart"/>
      <w:r w:rsidR="00776325">
        <w:rPr>
          <w:rFonts w:ascii="Times New Roman" w:hAnsi="Times New Roman" w:cs="Times New Roman"/>
          <w:sz w:val="24"/>
          <w:szCs w:val="24"/>
          <w:lang w:val="en-US"/>
        </w:rPr>
        <w:t>synergestic</w:t>
      </w:r>
      <w:proofErr w:type="spellEnd"/>
      <w:r w:rsidR="00776325">
        <w:rPr>
          <w:rFonts w:ascii="Times New Roman" w:hAnsi="Times New Roman" w:cs="Times New Roman"/>
          <w:sz w:val="24"/>
          <w:szCs w:val="24"/>
          <w:lang w:val="en-US"/>
        </w:rPr>
        <w:t xml:space="preserve"> components</w:t>
      </w:r>
      <w:r w:rsidR="00A360EC">
        <w:rPr>
          <w:rFonts w:ascii="Times New Roman" w:hAnsi="Times New Roman" w:cs="Times New Roman"/>
          <w:sz w:val="24"/>
          <w:szCs w:val="24"/>
          <w:lang w:val="en-US"/>
        </w:rPr>
        <w:t xml:space="preserve">. I expect also to have a </w:t>
      </w:r>
      <w:r w:rsidR="00B24803">
        <w:rPr>
          <w:rFonts w:ascii="Times New Roman" w:hAnsi="Times New Roman" w:cs="Times New Roman"/>
          <w:sz w:val="24"/>
          <w:szCs w:val="24"/>
          <w:lang w:val="en-US"/>
        </w:rPr>
        <w:t xml:space="preserve">maximum of some unique or </w:t>
      </w:r>
      <w:proofErr w:type="spellStart"/>
      <w:r w:rsidR="00B24803">
        <w:rPr>
          <w:rFonts w:ascii="Times New Roman" w:hAnsi="Times New Roman" w:cs="Times New Roman"/>
          <w:sz w:val="24"/>
          <w:szCs w:val="24"/>
          <w:lang w:val="en-US"/>
        </w:rPr>
        <w:t>synegestic</w:t>
      </w:r>
      <w:proofErr w:type="spellEnd"/>
      <w:r w:rsidR="00B24803">
        <w:rPr>
          <w:rFonts w:ascii="Times New Roman" w:hAnsi="Times New Roman" w:cs="Times New Roman"/>
          <w:sz w:val="24"/>
          <w:szCs w:val="24"/>
          <w:lang w:val="en-US"/>
        </w:rPr>
        <w:t xml:space="preserve"> components at 10-20 days</w:t>
      </w:r>
      <w:r w:rsidR="00C605A3">
        <w:rPr>
          <w:rFonts w:ascii="Times New Roman" w:hAnsi="Times New Roman" w:cs="Times New Roman"/>
          <w:sz w:val="24"/>
          <w:szCs w:val="24"/>
          <w:lang w:val="en-US"/>
        </w:rPr>
        <w:t xml:space="preserve">. </w:t>
      </w:r>
      <w:r w:rsidR="0041363E">
        <w:rPr>
          <w:rFonts w:ascii="Times New Roman" w:hAnsi="Times New Roman" w:cs="Times New Roman"/>
          <w:sz w:val="24"/>
          <w:szCs w:val="24"/>
          <w:lang w:val="en-US"/>
        </w:rPr>
        <w:t>However,</w:t>
      </w:r>
      <w:r w:rsidR="00C605A3">
        <w:rPr>
          <w:rFonts w:ascii="Times New Roman" w:hAnsi="Times New Roman" w:cs="Times New Roman"/>
          <w:sz w:val="24"/>
          <w:szCs w:val="24"/>
          <w:lang w:val="en-US"/>
        </w:rPr>
        <w:t xml:space="preserve"> more important info will come fr</w:t>
      </w:r>
      <w:r w:rsidR="003C2B5C">
        <w:rPr>
          <w:rFonts w:ascii="Times New Roman" w:hAnsi="Times New Roman" w:cs="Times New Roman"/>
          <w:sz w:val="24"/>
          <w:szCs w:val="24"/>
          <w:lang w:val="en-US"/>
        </w:rPr>
        <w:t>o</w:t>
      </w:r>
      <w:r w:rsidR="00C605A3">
        <w:rPr>
          <w:rFonts w:ascii="Times New Roman" w:hAnsi="Times New Roman" w:cs="Times New Roman"/>
          <w:sz w:val="24"/>
          <w:szCs w:val="24"/>
          <w:lang w:val="en-US"/>
        </w:rPr>
        <w:t xml:space="preserve">m the tasks below. But we must also do this in order to understand differences. </w:t>
      </w:r>
    </w:p>
    <w:p w14:paraId="0713AC2B" w14:textId="206233F8" w:rsidR="001C223B" w:rsidRDefault="00776325" w:rsidP="001E723D">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360EC">
        <w:rPr>
          <w:rFonts w:ascii="Times New Roman" w:hAnsi="Times New Roman" w:cs="Times New Roman"/>
          <w:sz w:val="24"/>
          <w:szCs w:val="24"/>
          <w:lang w:val="en-US"/>
        </w:rPr>
        <w:t xml:space="preserve">We must calculate again the 25 </w:t>
      </w:r>
      <w:proofErr w:type="spellStart"/>
      <w:r w:rsidR="00A360EC">
        <w:rPr>
          <w:rFonts w:ascii="Times New Roman" w:hAnsi="Times New Roman" w:cs="Times New Roman"/>
          <w:sz w:val="24"/>
          <w:szCs w:val="24"/>
          <w:lang w:val="en-US"/>
        </w:rPr>
        <w:t>normalised</w:t>
      </w:r>
      <w:proofErr w:type="spellEnd"/>
      <w:r w:rsidR="00A360EC">
        <w:rPr>
          <w:rFonts w:ascii="Times New Roman" w:hAnsi="Times New Roman" w:cs="Times New Roman"/>
          <w:sz w:val="24"/>
          <w:szCs w:val="24"/>
          <w:lang w:val="en-US"/>
        </w:rPr>
        <w:t xml:space="preserve"> specific mutual information</w:t>
      </w:r>
      <w:r w:rsidR="00330609">
        <w:rPr>
          <w:rFonts w:ascii="Times New Roman" w:hAnsi="Times New Roman" w:cs="Times New Roman"/>
          <w:sz w:val="24"/>
          <w:szCs w:val="24"/>
          <w:lang w:val="en-US"/>
        </w:rPr>
        <w:t xml:space="preserve"> </w:t>
      </w:r>
      <w:r w:rsidR="00A360EC" w:rsidRPr="00A360EC">
        <w:rPr>
          <w:rFonts w:ascii="Times New Roman" w:hAnsi="Times New Roman" w:cs="Times New Roman"/>
          <w:sz w:val="24"/>
          <w:szCs w:val="24"/>
          <w:lang w:val="en-US"/>
        </w:rPr>
        <w:t xml:space="preserve">among Hb total, Blue, Core, Red </w:t>
      </w:r>
      <w:r w:rsidR="00A360EC">
        <w:rPr>
          <w:rFonts w:ascii="Times New Roman" w:hAnsi="Times New Roman" w:cs="Times New Roman"/>
          <w:sz w:val="24"/>
          <w:szCs w:val="24"/>
          <w:lang w:val="en-US"/>
        </w:rPr>
        <w:t>and the normalized leakage</w:t>
      </w:r>
      <w:r w:rsidR="00A360EC" w:rsidRPr="00A360EC">
        <w:rPr>
          <w:rFonts w:ascii="Times New Roman" w:hAnsi="Times New Roman" w:cs="Times New Roman"/>
          <w:sz w:val="24"/>
          <w:szCs w:val="24"/>
          <w:lang w:val="en-US"/>
        </w:rPr>
        <w:t>. So</w:t>
      </w:r>
      <w:r w:rsidR="00B24803">
        <w:rPr>
          <w:rFonts w:ascii="Times New Roman" w:hAnsi="Times New Roman" w:cs="Times New Roman"/>
          <w:sz w:val="24"/>
          <w:szCs w:val="24"/>
          <w:lang w:val="en-US"/>
        </w:rPr>
        <w:t>,</w:t>
      </w:r>
      <w:r w:rsidR="00A360EC" w:rsidRPr="00A360EC">
        <w:rPr>
          <w:rFonts w:ascii="Times New Roman" w:hAnsi="Times New Roman" w:cs="Times New Roman"/>
          <w:sz w:val="24"/>
          <w:szCs w:val="24"/>
          <w:lang w:val="en-US"/>
        </w:rPr>
        <w:t xml:space="preserve"> writing the correct prompt</w:t>
      </w:r>
      <w:r w:rsidR="00B24803">
        <w:rPr>
          <w:rFonts w:ascii="Times New Roman" w:hAnsi="Times New Roman" w:cs="Times New Roman"/>
          <w:sz w:val="24"/>
          <w:szCs w:val="24"/>
          <w:lang w:val="en-US"/>
        </w:rPr>
        <w:t>,</w:t>
      </w:r>
      <w:r w:rsidR="00A360EC" w:rsidRPr="00A360EC">
        <w:rPr>
          <w:rFonts w:ascii="Times New Roman" w:hAnsi="Times New Roman" w:cs="Times New Roman"/>
          <w:sz w:val="24"/>
          <w:szCs w:val="24"/>
          <w:lang w:val="en-US"/>
        </w:rPr>
        <w:t xml:space="preserve"> </w:t>
      </w:r>
      <w:r w:rsidR="00B24803" w:rsidRPr="00A360EC">
        <w:rPr>
          <w:rFonts w:ascii="Times New Roman" w:hAnsi="Times New Roman" w:cs="Times New Roman"/>
          <w:sz w:val="24"/>
          <w:szCs w:val="24"/>
          <w:lang w:val="en-US"/>
        </w:rPr>
        <w:t>calculate</w:t>
      </w:r>
      <w:r w:rsidR="00A360EC" w:rsidRPr="00A360EC">
        <w:rPr>
          <w:rFonts w:ascii="Times New Roman" w:hAnsi="Times New Roman" w:cs="Times New Roman"/>
          <w:sz w:val="24"/>
          <w:szCs w:val="24"/>
          <w:lang w:val="en-US"/>
        </w:rPr>
        <w:t xml:space="preserve"> all 25 curves and the associated normalized leakage for 4 different targets for various </w:t>
      </w:r>
      <w:r w:rsidR="00B24803" w:rsidRPr="00B24803">
        <w:rPr>
          <w:rFonts w:ascii="Times New Roman" w:hAnsi="Times New Roman" w:cs="Times New Roman"/>
          <w:b/>
          <w:bCs/>
          <w:sz w:val="24"/>
          <w:szCs w:val="24"/>
          <w:lang w:val="en-US"/>
        </w:rPr>
        <w:t>un</w:t>
      </w:r>
      <w:r w:rsidR="00A360EC" w:rsidRPr="00B24803">
        <w:rPr>
          <w:rFonts w:ascii="Times New Roman" w:hAnsi="Times New Roman" w:cs="Times New Roman"/>
          <w:b/>
          <w:bCs/>
          <w:sz w:val="24"/>
          <w:szCs w:val="24"/>
          <w:lang w:val="en-US"/>
        </w:rPr>
        <w:t>common lags</w:t>
      </w:r>
      <w:r w:rsidR="00A360EC" w:rsidRPr="00A360EC">
        <w:rPr>
          <w:rFonts w:ascii="Times New Roman" w:hAnsi="Times New Roman" w:cs="Times New Roman"/>
          <w:sz w:val="24"/>
          <w:szCs w:val="24"/>
          <w:lang w:val="en-US"/>
        </w:rPr>
        <w:t xml:space="preserve">. </w:t>
      </w:r>
      <w:r w:rsidR="00D2069A">
        <w:rPr>
          <w:rFonts w:ascii="Times New Roman" w:hAnsi="Times New Roman" w:cs="Times New Roman"/>
          <w:sz w:val="24"/>
          <w:szCs w:val="24"/>
          <w:lang w:val="en-US"/>
        </w:rPr>
        <w:t>From</w:t>
      </w:r>
      <w:r w:rsidR="00565D51">
        <w:rPr>
          <w:rFonts w:ascii="Times New Roman" w:hAnsi="Times New Roman" w:cs="Times New Roman"/>
          <w:sz w:val="24"/>
          <w:szCs w:val="24"/>
          <w:lang w:val="en-US"/>
        </w:rPr>
        <w:t xml:space="preserve"> paper Xi et al and depending on the epochs</w:t>
      </w:r>
      <w:r w:rsidR="00D2069A">
        <w:rPr>
          <w:rFonts w:ascii="Times New Roman" w:hAnsi="Times New Roman" w:cs="Times New Roman"/>
          <w:sz w:val="24"/>
          <w:szCs w:val="24"/>
          <w:lang w:val="en-US"/>
        </w:rPr>
        <w:t xml:space="preserve"> we expect diffe</w:t>
      </w:r>
      <w:r w:rsidR="003C2B5C">
        <w:rPr>
          <w:rFonts w:ascii="Times New Roman" w:hAnsi="Times New Roman" w:cs="Times New Roman"/>
          <w:sz w:val="24"/>
          <w:szCs w:val="24"/>
          <w:lang w:val="en-US"/>
        </w:rPr>
        <w:t>re</w:t>
      </w:r>
      <w:r w:rsidR="00D2069A">
        <w:rPr>
          <w:rFonts w:ascii="Times New Roman" w:hAnsi="Times New Roman" w:cs="Times New Roman"/>
          <w:sz w:val="24"/>
          <w:szCs w:val="24"/>
          <w:lang w:val="en-US"/>
        </w:rPr>
        <w:t>nt lags to appear among subcomponents Read the appendix at the end of this enumerated list</w:t>
      </w:r>
      <w:r w:rsidR="001C223B">
        <w:rPr>
          <w:rFonts w:ascii="Times New Roman" w:hAnsi="Times New Roman" w:cs="Times New Roman"/>
          <w:sz w:val="24"/>
          <w:szCs w:val="24"/>
          <w:lang w:val="en-US"/>
        </w:rPr>
        <w:t xml:space="preserve"> in order to see what uncommon lags to set. A small table is the following :</w:t>
      </w:r>
    </w:p>
    <w:p w14:paraId="66977510" w14:textId="03F6F8CD" w:rsidR="001C223B" w:rsidRDefault="001C223B" w:rsidP="009C0E75">
      <w:pPr>
        <w:pStyle w:val="ListParagraph"/>
        <w:rPr>
          <w:rFonts w:ascii="Times New Roman" w:hAnsi="Times New Roman" w:cs="Times New Roman"/>
          <w:sz w:val="24"/>
          <w:szCs w:val="24"/>
          <w:lang w:val="en-US"/>
        </w:rPr>
      </w:pPr>
      <w:r>
        <w:rPr>
          <w:noProof/>
        </w:rPr>
        <w:lastRenderedPageBreak/>
        <w:drawing>
          <wp:inline distT="0" distB="0" distL="0" distR="0" wp14:anchorId="0E0B4884" wp14:editId="186F575A">
            <wp:extent cx="5731510" cy="2619375"/>
            <wp:effectExtent l="0" t="0" r="2540" b="9525"/>
            <wp:docPr id="171101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7511" name=""/>
                    <pic:cNvPicPr/>
                  </pic:nvPicPr>
                  <pic:blipFill>
                    <a:blip r:embed="rId6"/>
                    <a:stretch>
                      <a:fillRect/>
                    </a:stretch>
                  </pic:blipFill>
                  <pic:spPr>
                    <a:xfrm>
                      <a:off x="0" y="0"/>
                      <a:ext cx="5731510" cy="2619375"/>
                    </a:xfrm>
                    <a:prstGeom prst="rect">
                      <a:avLst/>
                    </a:prstGeom>
                  </pic:spPr>
                </pic:pic>
              </a:graphicData>
            </a:graphic>
          </wp:inline>
        </w:drawing>
      </w:r>
    </w:p>
    <w:p w14:paraId="62F9F40E" w14:textId="32C2D699" w:rsidR="00C605A3" w:rsidRDefault="00C605A3" w:rsidP="00A6735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My opinion is that we must add definitely more things. We must add time </w:t>
      </w:r>
      <w:r w:rsidR="00A67352">
        <w:rPr>
          <w:rFonts w:ascii="Times New Roman" w:hAnsi="Times New Roman" w:cs="Times New Roman"/>
          <w:sz w:val="24"/>
          <w:szCs w:val="24"/>
          <w:lang w:val="en-US"/>
        </w:rPr>
        <w:t>series</w:t>
      </w:r>
      <w:r>
        <w:rPr>
          <w:rFonts w:ascii="Times New Roman" w:hAnsi="Times New Roman" w:cs="Times New Roman"/>
          <w:sz w:val="24"/>
          <w:szCs w:val="24"/>
          <w:lang w:val="en-US"/>
        </w:rPr>
        <w:t xml:space="preserve"> from the optical 5100 and </w:t>
      </w:r>
      <w:r w:rsidR="00F81F23">
        <w:rPr>
          <w:rFonts w:ascii="Times New Roman" w:hAnsi="Times New Roman" w:cs="Times New Roman"/>
          <w:sz w:val="24"/>
          <w:szCs w:val="24"/>
          <w:lang w:val="en-US"/>
        </w:rPr>
        <w:t xml:space="preserve">if there are timeseries UV and X rays. So if we have also these extra time series we must run the surd algorithm again. Fo sure we must include the optical 5100 </w:t>
      </w:r>
      <w:r w:rsidR="00AA122E">
        <w:rPr>
          <w:rFonts w:ascii="Times New Roman" w:hAnsi="Times New Roman" w:cs="Times New Roman"/>
          <w:sz w:val="24"/>
          <w:szCs w:val="24"/>
          <w:lang w:val="en-US"/>
        </w:rPr>
        <w:t>. So we must run the SURD for the 4 variables F5100, R, C, B (subcomponents of Hb)</w:t>
      </w:r>
      <w:r w:rsidR="00F81F23">
        <w:rPr>
          <w:rFonts w:ascii="Times New Roman" w:hAnsi="Times New Roman" w:cs="Times New Roman"/>
          <w:sz w:val="24"/>
          <w:szCs w:val="24"/>
          <w:lang w:val="en-US"/>
        </w:rPr>
        <w:t xml:space="preserve"> </w:t>
      </w:r>
      <w:r w:rsidR="00AA122E">
        <w:rPr>
          <w:rFonts w:ascii="Times New Roman" w:hAnsi="Times New Roman" w:cs="Times New Roman"/>
          <w:sz w:val="24"/>
          <w:szCs w:val="24"/>
          <w:lang w:val="en-US"/>
        </w:rPr>
        <w:t>for various common lags and for various uncommon lags.</w:t>
      </w:r>
    </w:p>
    <w:p w14:paraId="33247468" w14:textId="2EBA1DFC" w:rsidR="001C223B" w:rsidRDefault="00AA122E" w:rsidP="00A6735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If there are more timeseries we must run SURD for F5100, UV,</w:t>
      </w:r>
      <w:r w:rsidR="001500C0">
        <w:rPr>
          <w:rFonts w:ascii="Times New Roman" w:hAnsi="Times New Roman" w:cs="Times New Roman"/>
          <w:sz w:val="24"/>
          <w:szCs w:val="24"/>
          <w:lang w:val="en-US"/>
        </w:rPr>
        <w:t xml:space="preserve"> X,</w:t>
      </w:r>
      <w:r>
        <w:rPr>
          <w:rFonts w:ascii="Times New Roman" w:hAnsi="Times New Roman" w:cs="Times New Roman"/>
          <w:sz w:val="24"/>
          <w:szCs w:val="24"/>
          <w:lang w:val="en-US"/>
        </w:rPr>
        <w:t xml:space="preserve">  R. C, B</w:t>
      </w:r>
    </w:p>
    <w:p w14:paraId="0656C9A0" w14:textId="546CB2BB" w:rsidR="00A67352" w:rsidRDefault="00AA122E" w:rsidP="00A67352">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power of the SURD is to find possible causal </w:t>
      </w:r>
      <w:r w:rsidR="001500C0">
        <w:rPr>
          <w:rFonts w:ascii="Times New Roman" w:hAnsi="Times New Roman" w:cs="Times New Roman"/>
          <w:sz w:val="24"/>
          <w:szCs w:val="24"/>
          <w:lang w:val="en-US"/>
        </w:rPr>
        <w:t>connections,</w:t>
      </w:r>
      <w:r>
        <w:rPr>
          <w:rFonts w:ascii="Times New Roman" w:hAnsi="Times New Roman" w:cs="Times New Roman"/>
          <w:sz w:val="24"/>
          <w:szCs w:val="24"/>
          <w:lang w:val="en-US"/>
        </w:rPr>
        <w:t xml:space="preserve"> that’s why it is </w:t>
      </w:r>
      <w:r w:rsidR="00986386">
        <w:rPr>
          <w:rFonts w:ascii="Times New Roman" w:hAnsi="Times New Roman" w:cs="Times New Roman"/>
          <w:sz w:val="24"/>
          <w:szCs w:val="24"/>
          <w:lang w:val="en-US"/>
        </w:rPr>
        <w:t>more meaningful to compare Hb subcomponents with F5100 and UV, X</w:t>
      </w:r>
      <w:r w:rsidR="00A67352">
        <w:rPr>
          <w:rFonts w:ascii="Times New Roman" w:hAnsi="Times New Roman" w:cs="Times New Roman"/>
          <w:sz w:val="24"/>
          <w:szCs w:val="24"/>
          <w:lang w:val="en-US"/>
        </w:rPr>
        <w:t>.</w:t>
      </w:r>
      <w:r w:rsidR="001500C0">
        <w:rPr>
          <w:rFonts w:ascii="Times New Roman" w:hAnsi="Times New Roman" w:cs="Times New Roman"/>
          <w:sz w:val="24"/>
          <w:szCs w:val="24"/>
          <w:lang w:val="en-US"/>
        </w:rPr>
        <w:t xml:space="preserve"> </w:t>
      </w:r>
    </w:p>
    <w:p w14:paraId="67317391" w14:textId="41E33619" w:rsidR="00A67352" w:rsidRDefault="00A67352" w:rsidP="00A6735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don’t calculate other quantities like conditioned </w:t>
      </w:r>
      <w:r w:rsidR="001500C0">
        <w:rPr>
          <w:rFonts w:ascii="Times New Roman" w:hAnsi="Times New Roman" w:cs="Times New Roman"/>
          <w:sz w:val="24"/>
          <w:szCs w:val="24"/>
          <w:lang w:val="en-US"/>
        </w:rPr>
        <w:t xml:space="preserve">mutual </w:t>
      </w:r>
      <w:r>
        <w:rPr>
          <w:rFonts w:ascii="Times New Roman" w:hAnsi="Times New Roman" w:cs="Times New Roman"/>
          <w:sz w:val="24"/>
          <w:szCs w:val="24"/>
          <w:lang w:val="en-US"/>
        </w:rPr>
        <w:t xml:space="preserve">information that previous </w:t>
      </w:r>
      <w:proofErr w:type="spellStart"/>
      <w:r>
        <w:rPr>
          <w:rFonts w:ascii="Times New Roman" w:hAnsi="Times New Roman" w:cs="Times New Roman"/>
          <w:sz w:val="24"/>
          <w:szCs w:val="24"/>
          <w:lang w:val="en-US"/>
        </w:rPr>
        <w:t>chatgpt</w:t>
      </w:r>
      <w:proofErr w:type="spellEnd"/>
      <w:r>
        <w:rPr>
          <w:rFonts w:ascii="Times New Roman" w:hAnsi="Times New Roman" w:cs="Times New Roman"/>
          <w:sz w:val="24"/>
          <w:szCs w:val="24"/>
          <w:lang w:val="en-US"/>
        </w:rPr>
        <w:t xml:space="preserve"> </w:t>
      </w:r>
      <w:r w:rsidR="006752A3">
        <w:rPr>
          <w:rFonts w:ascii="Times New Roman" w:hAnsi="Times New Roman" w:cs="Times New Roman"/>
          <w:sz w:val="24"/>
          <w:szCs w:val="24"/>
          <w:lang w:val="en-US"/>
        </w:rPr>
        <w:t>answer</w:t>
      </w:r>
      <w:r>
        <w:rPr>
          <w:rFonts w:ascii="Times New Roman" w:hAnsi="Times New Roman" w:cs="Times New Roman"/>
          <w:sz w:val="24"/>
          <w:szCs w:val="24"/>
          <w:lang w:val="en-US"/>
        </w:rPr>
        <w:t xml:space="preserve"> suggested . We calculate what I wrote before.</w:t>
      </w:r>
      <w:r w:rsidR="001E47B8">
        <w:rPr>
          <w:rFonts w:ascii="Times New Roman" w:hAnsi="Times New Roman" w:cs="Times New Roman"/>
          <w:sz w:val="24"/>
          <w:szCs w:val="24"/>
          <w:lang w:val="en-US"/>
        </w:rPr>
        <w:t xml:space="preserve"> I don’t think that the paper is publishable </w:t>
      </w:r>
      <w:r w:rsidR="00DD3252">
        <w:rPr>
          <w:rFonts w:ascii="Times New Roman" w:hAnsi="Times New Roman" w:cs="Times New Roman"/>
          <w:sz w:val="24"/>
          <w:szCs w:val="24"/>
          <w:lang w:val="en-US"/>
        </w:rPr>
        <w:t xml:space="preserve">in good journal like MNRAS </w:t>
      </w:r>
      <w:r w:rsidR="001E47B8">
        <w:rPr>
          <w:rFonts w:ascii="Times New Roman" w:hAnsi="Times New Roman" w:cs="Times New Roman"/>
          <w:sz w:val="24"/>
          <w:szCs w:val="24"/>
          <w:lang w:val="en-US"/>
        </w:rPr>
        <w:t>if we analyze only Hb</w:t>
      </w:r>
      <w:r w:rsidR="00DD3252">
        <w:rPr>
          <w:rFonts w:ascii="Times New Roman" w:hAnsi="Times New Roman" w:cs="Times New Roman"/>
          <w:sz w:val="24"/>
          <w:szCs w:val="24"/>
          <w:lang w:val="en-US"/>
        </w:rPr>
        <w:t xml:space="preserve"> and R,C,B</w:t>
      </w:r>
      <w:r w:rsidR="00791F1D">
        <w:rPr>
          <w:rFonts w:ascii="Times New Roman" w:hAnsi="Times New Roman" w:cs="Times New Roman"/>
          <w:sz w:val="24"/>
          <w:szCs w:val="24"/>
          <w:lang w:val="en-US"/>
        </w:rPr>
        <w:t xml:space="preserve"> we must add optical or more timeseries</w:t>
      </w:r>
      <w:r w:rsidR="00DD3252">
        <w:rPr>
          <w:rFonts w:ascii="Times New Roman" w:hAnsi="Times New Roman" w:cs="Times New Roman"/>
          <w:sz w:val="24"/>
          <w:szCs w:val="24"/>
          <w:lang w:val="en-US"/>
        </w:rPr>
        <w:t>.</w:t>
      </w:r>
      <w:r w:rsidR="00EF018B">
        <w:rPr>
          <w:rFonts w:ascii="Times New Roman" w:hAnsi="Times New Roman" w:cs="Times New Roman"/>
          <w:sz w:val="24"/>
          <w:szCs w:val="24"/>
          <w:lang w:val="en-US"/>
        </w:rPr>
        <w:t xml:space="preserve"> Also</w:t>
      </w:r>
      <w:r w:rsidR="00791F1D">
        <w:rPr>
          <w:rFonts w:ascii="Times New Roman" w:hAnsi="Times New Roman" w:cs="Times New Roman"/>
          <w:sz w:val="24"/>
          <w:szCs w:val="24"/>
          <w:lang w:val="en-US"/>
        </w:rPr>
        <w:t>,</w:t>
      </w:r>
      <w:r w:rsidR="00EF018B">
        <w:rPr>
          <w:rFonts w:ascii="Times New Roman" w:hAnsi="Times New Roman" w:cs="Times New Roman"/>
          <w:sz w:val="24"/>
          <w:szCs w:val="24"/>
          <w:lang w:val="en-US"/>
        </w:rPr>
        <w:t xml:space="preserve"> the autocorrelation that </w:t>
      </w:r>
      <w:proofErr w:type="spellStart"/>
      <w:r w:rsidR="00EF018B">
        <w:rPr>
          <w:rFonts w:ascii="Times New Roman" w:hAnsi="Times New Roman" w:cs="Times New Roman"/>
          <w:sz w:val="24"/>
          <w:szCs w:val="24"/>
          <w:lang w:val="en-US"/>
        </w:rPr>
        <w:t>claude</w:t>
      </w:r>
      <w:proofErr w:type="spellEnd"/>
      <w:r w:rsidR="00EF018B">
        <w:rPr>
          <w:rFonts w:ascii="Times New Roman" w:hAnsi="Times New Roman" w:cs="Times New Roman"/>
          <w:sz w:val="24"/>
          <w:szCs w:val="24"/>
          <w:lang w:val="en-US"/>
        </w:rPr>
        <w:t xml:space="preserve"> and </w:t>
      </w:r>
      <w:proofErr w:type="spellStart"/>
      <w:r w:rsidR="00EF018B">
        <w:rPr>
          <w:rFonts w:ascii="Times New Roman" w:hAnsi="Times New Roman" w:cs="Times New Roman"/>
          <w:sz w:val="24"/>
          <w:szCs w:val="24"/>
          <w:lang w:val="en-US"/>
        </w:rPr>
        <w:t>chatgpt</w:t>
      </w:r>
      <w:proofErr w:type="spellEnd"/>
      <w:r w:rsidR="00EF018B">
        <w:rPr>
          <w:rFonts w:ascii="Times New Roman" w:hAnsi="Times New Roman" w:cs="Times New Roman"/>
          <w:sz w:val="24"/>
          <w:szCs w:val="24"/>
          <w:lang w:val="en-US"/>
        </w:rPr>
        <w:t xml:space="preserve"> mention is important for very small lags smaller than 5 days I believe. What ranges for velocities </w:t>
      </w:r>
      <w:r w:rsidR="00791F1D">
        <w:rPr>
          <w:rFonts w:ascii="Times New Roman" w:hAnsi="Times New Roman" w:cs="Times New Roman"/>
          <w:sz w:val="24"/>
          <w:szCs w:val="24"/>
          <w:lang w:val="en-US"/>
        </w:rPr>
        <w:t>should you</w:t>
      </w:r>
      <w:r w:rsidR="00EF018B">
        <w:rPr>
          <w:rFonts w:ascii="Times New Roman" w:hAnsi="Times New Roman" w:cs="Times New Roman"/>
          <w:sz w:val="24"/>
          <w:szCs w:val="24"/>
          <w:lang w:val="en-US"/>
        </w:rPr>
        <w:t xml:space="preserve"> choose in order to be compatible with common practice </w:t>
      </w:r>
      <w:r w:rsidR="00791F1D">
        <w:rPr>
          <w:rFonts w:ascii="Times New Roman" w:hAnsi="Times New Roman" w:cs="Times New Roman"/>
          <w:sz w:val="24"/>
          <w:szCs w:val="24"/>
          <w:lang w:val="en-US"/>
        </w:rPr>
        <w:t>or with Xi et al. paper, I don’t know please check again and decide.</w:t>
      </w:r>
    </w:p>
    <w:p w14:paraId="48548349" w14:textId="77777777" w:rsidR="00A67352" w:rsidRDefault="00A67352" w:rsidP="00A67352">
      <w:pPr>
        <w:pStyle w:val="ListParagraph"/>
        <w:rPr>
          <w:rFonts w:ascii="Times New Roman" w:hAnsi="Times New Roman" w:cs="Times New Roman"/>
          <w:sz w:val="24"/>
          <w:szCs w:val="24"/>
          <w:lang w:val="en-US"/>
        </w:rPr>
      </w:pPr>
    </w:p>
    <w:p w14:paraId="4634085A" w14:textId="77777777" w:rsidR="00A67352" w:rsidRPr="00A67352" w:rsidRDefault="00A67352" w:rsidP="00A67352">
      <w:pPr>
        <w:pStyle w:val="ListParagraph"/>
        <w:rPr>
          <w:rFonts w:ascii="Times New Roman" w:hAnsi="Times New Roman" w:cs="Times New Roman"/>
          <w:sz w:val="24"/>
          <w:szCs w:val="24"/>
          <w:lang w:val="en-US"/>
        </w:rPr>
      </w:pPr>
    </w:p>
    <w:p w14:paraId="1BFE1DBB" w14:textId="77777777" w:rsidR="00205F15" w:rsidRDefault="00205F15" w:rsidP="00205F15">
      <w:pPr>
        <w:ind w:left="360"/>
        <w:rPr>
          <w:rFonts w:ascii="Times New Roman" w:hAnsi="Times New Roman" w:cs="Times New Roman"/>
          <w:sz w:val="24"/>
          <w:szCs w:val="24"/>
          <w:lang w:val="en-US"/>
        </w:rPr>
      </w:pPr>
    </w:p>
    <w:p w14:paraId="6A820779" w14:textId="77777777" w:rsidR="00D2069A" w:rsidRDefault="00D2069A" w:rsidP="00205F15">
      <w:pPr>
        <w:ind w:left="360"/>
        <w:rPr>
          <w:rFonts w:ascii="Times New Roman" w:hAnsi="Times New Roman" w:cs="Times New Roman"/>
          <w:sz w:val="24"/>
          <w:szCs w:val="24"/>
          <w:lang w:val="en-US"/>
        </w:rPr>
      </w:pPr>
    </w:p>
    <w:p w14:paraId="69A2F2BE" w14:textId="77777777" w:rsidR="00D2069A" w:rsidRDefault="00D2069A" w:rsidP="00205F15">
      <w:pPr>
        <w:ind w:left="360"/>
        <w:rPr>
          <w:rFonts w:ascii="Times New Roman" w:hAnsi="Times New Roman" w:cs="Times New Roman"/>
          <w:sz w:val="24"/>
          <w:szCs w:val="24"/>
          <w:lang w:val="en-US"/>
        </w:rPr>
      </w:pPr>
    </w:p>
    <w:p w14:paraId="68276E3F" w14:textId="77777777" w:rsidR="00D2069A" w:rsidRPr="009C0E75" w:rsidRDefault="00D2069A" w:rsidP="00205F15">
      <w:pPr>
        <w:ind w:left="360"/>
        <w:rPr>
          <w:rFonts w:ascii="Times New Roman" w:hAnsi="Times New Roman" w:cs="Times New Roman"/>
          <w:color w:val="EE0000"/>
          <w:sz w:val="36"/>
          <w:szCs w:val="36"/>
          <w:lang w:val="en-US"/>
        </w:rPr>
      </w:pPr>
    </w:p>
    <w:p w14:paraId="39DE4969" w14:textId="2D2F09B4" w:rsidR="00D2069A" w:rsidRPr="009C0E75" w:rsidRDefault="00D2069A" w:rsidP="00205F15">
      <w:pPr>
        <w:ind w:left="360"/>
        <w:rPr>
          <w:rFonts w:ascii="Times New Roman" w:hAnsi="Times New Roman" w:cs="Times New Roman"/>
          <w:color w:val="EE0000"/>
          <w:sz w:val="36"/>
          <w:szCs w:val="36"/>
          <w:lang w:val="en-US"/>
        </w:rPr>
      </w:pPr>
      <w:r w:rsidRPr="009C0E75">
        <w:rPr>
          <w:rFonts w:ascii="Times New Roman" w:hAnsi="Times New Roman" w:cs="Times New Roman"/>
          <w:color w:val="EE0000"/>
          <w:sz w:val="36"/>
          <w:szCs w:val="36"/>
          <w:lang w:val="en-US"/>
        </w:rPr>
        <w:t xml:space="preserve">Appendix </w:t>
      </w:r>
    </w:p>
    <w:p w14:paraId="490E4829" w14:textId="77777777" w:rsidR="00D2069A" w:rsidRDefault="00D2069A" w:rsidP="00205F15">
      <w:pPr>
        <w:ind w:left="360"/>
        <w:rPr>
          <w:rFonts w:ascii="Times New Roman" w:hAnsi="Times New Roman" w:cs="Times New Roman"/>
          <w:sz w:val="24"/>
          <w:szCs w:val="24"/>
          <w:lang w:val="en-US"/>
        </w:rPr>
      </w:pPr>
    </w:p>
    <w:p w14:paraId="649A3AFB" w14:textId="6F31936B" w:rsidR="00D2069A" w:rsidRDefault="00D2069A" w:rsidP="00205F15">
      <w:pPr>
        <w:ind w:left="360"/>
        <w:rPr>
          <w:rFonts w:ascii="Times New Roman" w:hAnsi="Times New Roman" w:cs="Times New Roman"/>
          <w:sz w:val="24"/>
          <w:szCs w:val="24"/>
          <w:lang w:val="en-US"/>
        </w:rPr>
      </w:pPr>
    </w:p>
    <w:p w14:paraId="00B8B16B" w14:textId="77777777" w:rsidR="00D2069A" w:rsidRPr="00AD38E5" w:rsidRDefault="00D2069A" w:rsidP="00205F15">
      <w:pPr>
        <w:ind w:left="360"/>
        <w:rPr>
          <w:rFonts w:ascii="Times New Roman" w:hAnsi="Times New Roman" w:cs="Times New Roman"/>
          <w:sz w:val="24"/>
          <w:szCs w:val="24"/>
          <w:lang w:val="en-US"/>
        </w:rPr>
      </w:pPr>
    </w:p>
    <w:p w14:paraId="4DC04A05" w14:textId="77777777" w:rsidR="009C0E75" w:rsidRPr="009C0E75" w:rsidRDefault="009C0E75" w:rsidP="009C0E75">
      <w:pPr>
        <w:pBdr>
          <w:bottom w:val="single" w:sz="8" w:space="4" w:color="4F81BD"/>
        </w:pBdr>
        <w:spacing w:after="300" w:line="240" w:lineRule="auto"/>
        <w:contextualSpacing/>
        <w:jc w:val="center"/>
        <w:rPr>
          <w:rFonts w:ascii="Calibri" w:eastAsia="MS Gothic" w:hAnsi="Calibri" w:cs="Times New Roman"/>
          <w:color w:val="17365D"/>
          <w:spacing w:val="5"/>
          <w:kern w:val="28"/>
          <w:sz w:val="36"/>
          <w:szCs w:val="52"/>
          <w:lang w:val="en-US"/>
          <w14:ligatures w14:val="none"/>
        </w:rPr>
      </w:pPr>
      <w:r w:rsidRPr="009C0E75">
        <w:rPr>
          <w:rFonts w:ascii="Calibri" w:eastAsia="MS Gothic" w:hAnsi="Calibri" w:cs="Times New Roman"/>
          <w:b/>
          <w:color w:val="17365D"/>
          <w:spacing w:val="5"/>
          <w:kern w:val="28"/>
          <w:sz w:val="36"/>
          <w:szCs w:val="52"/>
          <w:lang w:val="en-US"/>
          <w14:ligatures w14:val="none"/>
        </w:rPr>
        <w:lastRenderedPageBreak/>
        <w:t>Xi et al. Results and Their Implications for a SURD Analysis of Hβ</w:t>
      </w:r>
    </w:p>
    <w:p w14:paraId="64E483BF" w14:textId="77777777" w:rsidR="009C0E75" w:rsidRPr="009C0E75" w:rsidRDefault="009C0E75" w:rsidP="009C0E75">
      <w:pPr>
        <w:spacing w:after="200" w:line="276" w:lineRule="auto"/>
        <w:jc w:val="center"/>
        <w:rPr>
          <w:rFonts w:ascii="Arial" w:eastAsia="Arial" w:hAnsi="Arial" w:cs="Times New Roman"/>
          <w:kern w:val="0"/>
          <w:sz w:val="21"/>
          <w:lang w:val="en-US"/>
          <w14:ligatures w14:val="none"/>
        </w:rPr>
      </w:pPr>
      <w:r w:rsidRPr="009C0E75">
        <w:rPr>
          <w:rFonts w:ascii="Arial" w:eastAsia="Arial" w:hAnsi="Arial" w:cs="Times New Roman"/>
          <w:i/>
          <w:kern w:val="0"/>
          <w:sz w:val="21"/>
          <w:lang w:val="en-US"/>
          <w14:ligatures w14:val="none"/>
        </w:rPr>
        <w:t>Integrated Hβ, blue wing, line core, and red wing</w:t>
      </w:r>
    </w:p>
    <w:p w14:paraId="2D9F1FBD"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1. What Xi et al. actually measure</w:t>
      </w:r>
    </w:p>
    <w:p w14:paraId="4C9157F9"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The key point is that Xi et al. do not provide one numerical lag for a coarse blue wing, line core, and red wing in every season. Instead, they calculate velocity-resolved lag profiles using 15 and 30 equal-flux velocity bins. The result is a lag as a function of line-of-sight velocity, </w:t>
      </w:r>
      <w:proofErr w:type="spellStart"/>
      <w:r w:rsidRPr="009C0E75">
        <w:rPr>
          <w:rFonts w:ascii="Arial" w:eastAsia="Arial" w:hAnsi="Arial" w:cs="Times New Roman"/>
          <w:kern w:val="0"/>
          <w:sz w:val="21"/>
          <w:lang w:val="en-US"/>
          <w14:ligatures w14:val="none"/>
        </w:rPr>
        <w:t>τH</w:t>
      </w:r>
      <w:proofErr w:type="spellEnd"/>
      <w:r w:rsidRPr="009C0E75">
        <w:rPr>
          <w:rFonts w:ascii="Arial" w:eastAsia="Arial" w:hAnsi="Arial" w:cs="Times New Roman"/>
          <w:kern w:val="0"/>
          <w:sz w:val="21"/>
          <w:lang w:val="en-US"/>
          <w14:ligatures w14:val="none"/>
        </w:rPr>
        <w:t>β(v).</w:t>
      </w:r>
    </w:p>
    <w:p w14:paraId="7EE8BBC7"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Consequently, the paper supports qualitative statements such as “the red side responds earlier than the blue side” or “both high-velocity wings respond earlier than the line core.” It generally does not justify statements such as “the red wing leads the blue wing by exactly 4.2 days” for each season. Those numerical differences must be recomputed using the exact blue/core/red velocity intervals adopted in the SURD study.</w:t>
      </w:r>
    </w:p>
    <w:p w14:paraId="4178B6B5"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every season, Xi et al. first measure the integrated Hβ lag relative to the optical continuum:</w:t>
      </w:r>
    </w:p>
    <w:p w14:paraId="4F060981"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F5100(t)  →  FHβ,total(t + </w:t>
      </w:r>
      <w:proofErr w:type="spellStart"/>
      <w:r w:rsidRPr="009C0E75">
        <w:rPr>
          <w:rFonts w:ascii="Cambria Math" w:eastAsia="Cambria Math" w:hAnsi="Cambria Math" w:cs="Times New Roman"/>
          <w:kern w:val="0"/>
          <w:lang w:val="en-US"/>
          <w14:ligatures w14:val="none"/>
        </w:rPr>
        <w:t>τH</w:t>
      </w:r>
      <w:proofErr w:type="spellEnd"/>
      <w:r w:rsidRPr="009C0E75">
        <w:rPr>
          <w:rFonts w:ascii="Cambria Math" w:eastAsia="Cambria Math" w:hAnsi="Cambria Math" w:cs="Times New Roman"/>
          <w:kern w:val="0"/>
          <w:lang w:val="en-US"/>
          <w14:ligatures w14:val="none"/>
        </w:rPr>
        <w:t>β).</w:t>
      </w:r>
    </w:p>
    <w:tbl>
      <w:tblPr>
        <w:tblStyle w:val="TableGrid1"/>
        <w:tblW w:w="0" w:type="auto"/>
        <w:jc w:val="center"/>
        <w:tblLook w:val="04A0" w:firstRow="1" w:lastRow="0" w:firstColumn="1" w:lastColumn="0" w:noHBand="0" w:noVBand="1"/>
      </w:tblPr>
      <w:tblGrid>
        <w:gridCol w:w="4495"/>
        <w:gridCol w:w="4521"/>
      </w:tblGrid>
      <w:tr w:rsidR="009C0E75" w:rsidRPr="009C0E75" w14:paraId="49F78B73" w14:textId="77777777" w:rsidTr="005458C1">
        <w:trPr>
          <w:jc w:val="center"/>
        </w:trPr>
        <w:tc>
          <w:tcPr>
            <w:tcW w:w="4968" w:type="dxa"/>
            <w:shd w:val="clear" w:color="auto" w:fill="D9EAF7"/>
          </w:tcPr>
          <w:p w14:paraId="35A78C3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Season</w:t>
            </w:r>
          </w:p>
        </w:tc>
        <w:tc>
          <w:tcPr>
            <w:tcW w:w="4968" w:type="dxa"/>
            <w:shd w:val="clear" w:color="auto" w:fill="D9EAF7"/>
          </w:tcPr>
          <w:p w14:paraId="77BA87C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Integrated Hβ lag relative to 5100 Å</w:t>
            </w:r>
          </w:p>
        </w:tc>
      </w:tr>
      <w:tr w:rsidR="009C0E75" w:rsidRPr="009C0E75" w14:paraId="5551B90D" w14:textId="77777777" w:rsidTr="005458C1">
        <w:trPr>
          <w:jc w:val="center"/>
        </w:trPr>
        <w:tc>
          <w:tcPr>
            <w:tcW w:w="4968" w:type="dxa"/>
            <w:vAlign w:val="center"/>
          </w:tcPr>
          <w:p w14:paraId="38AD906C"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2015</w:t>
            </w:r>
          </w:p>
        </w:tc>
        <w:tc>
          <w:tcPr>
            <w:tcW w:w="4968" w:type="dxa"/>
            <w:vAlign w:val="center"/>
          </w:tcPr>
          <w:p w14:paraId="758A4A4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7.2 +1.3/−0.4 d</w:t>
            </w:r>
          </w:p>
        </w:tc>
      </w:tr>
      <w:tr w:rsidR="009C0E75" w:rsidRPr="009C0E75" w14:paraId="087E5A69" w14:textId="77777777" w:rsidTr="005458C1">
        <w:trPr>
          <w:jc w:val="center"/>
        </w:trPr>
        <w:tc>
          <w:tcPr>
            <w:tcW w:w="4968" w:type="dxa"/>
            <w:vAlign w:val="center"/>
          </w:tcPr>
          <w:p w14:paraId="3B350768"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2018</w:t>
            </w:r>
          </w:p>
        </w:tc>
        <w:tc>
          <w:tcPr>
            <w:tcW w:w="4968" w:type="dxa"/>
            <w:vAlign w:val="center"/>
          </w:tcPr>
          <w:p w14:paraId="7C69F8E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7.0 +2.3/−3.4 d</w:t>
            </w:r>
          </w:p>
        </w:tc>
      </w:tr>
      <w:tr w:rsidR="009C0E75" w:rsidRPr="009C0E75" w14:paraId="37E2F410" w14:textId="77777777" w:rsidTr="005458C1">
        <w:trPr>
          <w:jc w:val="center"/>
        </w:trPr>
        <w:tc>
          <w:tcPr>
            <w:tcW w:w="4968" w:type="dxa"/>
            <w:vAlign w:val="center"/>
          </w:tcPr>
          <w:p w14:paraId="725F334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2019</w:t>
            </w:r>
          </w:p>
        </w:tc>
        <w:tc>
          <w:tcPr>
            <w:tcW w:w="4968" w:type="dxa"/>
            <w:vAlign w:val="center"/>
          </w:tcPr>
          <w:p w14:paraId="494003E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8.9 +2.0/−1.1 d</w:t>
            </w:r>
          </w:p>
        </w:tc>
      </w:tr>
      <w:tr w:rsidR="009C0E75" w:rsidRPr="009C0E75" w14:paraId="1A0F2788" w14:textId="77777777" w:rsidTr="005458C1">
        <w:trPr>
          <w:jc w:val="center"/>
        </w:trPr>
        <w:tc>
          <w:tcPr>
            <w:tcW w:w="4968" w:type="dxa"/>
            <w:vAlign w:val="center"/>
          </w:tcPr>
          <w:p w14:paraId="18B9CB4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2020</w:t>
            </w:r>
          </w:p>
        </w:tc>
        <w:tc>
          <w:tcPr>
            <w:tcW w:w="4968" w:type="dxa"/>
            <w:vAlign w:val="center"/>
          </w:tcPr>
          <w:p w14:paraId="2AB9195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10.0 +3.3/−3.3 d</w:t>
            </w:r>
          </w:p>
        </w:tc>
      </w:tr>
      <w:tr w:rsidR="009C0E75" w:rsidRPr="009C0E75" w14:paraId="7D516A03" w14:textId="77777777" w:rsidTr="005458C1">
        <w:trPr>
          <w:jc w:val="center"/>
        </w:trPr>
        <w:tc>
          <w:tcPr>
            <w:tcW w:w="4968" w:type="dxa"/>
            <w:vAlign w:val="center"/>
          </w:tcPr>
          <w:p w14:paraId="526C53F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2021</w:t>
            </w:r>
          </w:p>
        </w:tc>
        <w:tc>
          <w:tcPr>
            <w:tcW w:w="4968" w:type="dxa"/>
            <w:vAlign w:val="center"/>
          </w:tcPr>
          <w:p w14:paraId="20DDF01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9.0 +1.9/−2.5 d</w:t>
            </w:r>
          </w:p>
        </w:tc>
      </w:tr>
      <w:tr w:rsidR="009C0E75" w:rsidRPr="009C0E75" w14:paraId="43271C28" w14:textId="77777777" w:rsidTr="005458C1">
        <w:trPr>
          <w:jc w:val="center"/>
        </w:trPr>
        <w:tc>
          <w:tcPr>
            <w:tcW w:w="4968" w:type="dxa"/>
            <w:vAlign w:val="center"/>
          </w:tcPr>
          <w:p w14:paraId="375D015B"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2023</w:t>
            </w:r>
          </w:p>
        </w:tc>
        <w:tc>
          <w:tcPr>
            <w:tcW w:w="4968" w:type="dxa"/>
            <w:vAlign w:val="center"/>
          </w:tcPr>
          <w:p w14:paraId="0609DB1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15.6 +2.6/−2.9 d</w:t>
            </w:r>
          </w:p>
        </w:tc>
      </w:tr>
    </w:tbl>
    <w:p w14:paraId="4E700EB6"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These values are continuum-to-total-line lags. They are not direct measurements of red-to-blue, blue-to-core, or wing-to-total delays.</w:t>
      </w:r>
    </w:p>
    <w:p w14:paraId="3BF13056"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2. Physical meaning of the velocity-resolved patterns</w:t>
      </w:r>
    </w:p>
    <w:p w14:paraId="2ED83360"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2.1 Virialized or disk-like profile</w:t>
      </w:r>
    </w:p>
    <w:p w14:paraId="3737C570"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virialized velocity-lag profile is approximately symmetric. The high-velocity blue and red wings respond earlier than the low-velocity core:</w:t>
      </w:r>
    </w:p>
    <w:p w14:paraId="719E322D"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wing ≃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wing &lt; </w:t>
      </w:r>
      <w:proofErr w:type="spellStart"/>
      <w:r w:rsidRPr="009C0E75">
        <w:rPr>
          <w:rFonts w:ascii="Cambria Math" w:eastAsia="Cambria Math" w:hAnsi="Cambria Math" w:cs="Times New Roman"/>
          <w:kern w:val="0"/>
          <w:lang w:val="en-US"/>
          <w14:ligatures w14:val="none"/>
        </w:rPr>
        <w:t>τcore</w:t>
      </w:r>
      <w:proofErr w:type="spellEnd"/>
      <w:r w:rsidRPr="009C0E75">
        <w:rPr>
          <w:rFonts w:ascii="Cambria Math" w:eastAsia="Cambria Math" w:hAnsi="Cambria Math" w:cs="Times New Roman"/>
          <w:kern w:val="0"/>
          <w:lang w:val="en-US"/>
          <w14:ligatures w14:val="none"/>
        </w:rPr>
        <w:t>.</w:t>
      </w:r>
    </w:p>
    <w:p w14:paraId="5CF7D60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reason is the virial relation: gas with larger line-of-sight velocity is, on average, located at a smaller radius and therefore has a shorter light-travel delay.</w:t>
      </w:r>
    </w:p>
    <w:p w14:paraId="2ADB3AD7"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|v| ↑  ⇒  R ↓  ⇒  τ ↓.</w:t>
      </w:r>
    </w:p>
    <w:p w14:paraId="376D1197"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does not imply that one wing causes the other. Both wings are early responses to the same continuum variation.</w:t>
      </w:r>
    </w:p>
    <w:p w14:paraId="6E488C45"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2.2 Red-leads-blue profile</w:t>
      </w:r>
    </w:p>
    <w:p w14:paraId="703A18A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red-leading profile means</w:t>
      </w:r>
    </w:p>
    <w:p w14:paraId="7FD13DA5"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w:t>
      </w:r>
    </w:p>
    <w:p w14:paraId="1936E7F1"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The redshifted side responds earlier than the </w:t>
      </w:r>
      <w:proofErr w:type="spellStart"/>
      <w:r w:rsidRPr="009C0E75">
        <w:rPr>
          <w:rFonts w:ascii="Arial" w:eastAsia="Arial" w:hAnsi="Arial" w:cs="Times New Roman"/>
          <w:kern w:val="0"/>
          <w:sz w:val="21"/>
          <w:lang w:val="en-US"/>
          <w14:ligatures w14:val="none"/>
        </w:rPr>
        <w:t>blueshifted</w:t>
      </w:r>
      <w:proofErr w:type="spellEnd"/>
      <w:r w:rsidRPr="009C0E75">
        <w:rPr>
          <w:rFonts w:ascii="Arial" w:eastAsia="Arial" w:hAnsi="Arial" w:cs="Times New Roman"/>
          <w:kern w:val="0"/>
          <w:sz w:val="21"/>
          <w:lang w:val="en-US"/>
          <w14:ligatures w14:val="none"/>
        </w:rPr>
        <w:t xml:space="preserve"> side. This is commonly interpreted as an inflow signature, possibly mixed with virialized motion. In a SURD analysis, the red wing becomes a plausible earlier predictor of the later blue-wing state, provided that the common continuum and the target’s autocorrelation are controlled.</w:t>
      </w:r>
    </w:p>
    <w:p w14:paraId="6A6CCBE9"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lastRenderedPageBreak/>
        <w:t>2.3 Blue-leads-red profile</w:t>
      </w:r>
    </w:p>
    <w:p w14:paraId="6AD78EC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blue-leading profile means</w:t>
      </w:r>
    </w:p>
    <w:p w14:paraId="6A8E0A30"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w:t>
      </w:r>
    </w:p>
    <w:p w14:paraId="6629CAC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is usually associated with an outflow-like component, again potentially mixed with virial rotation or anisotropic illumination. In this case, the blue wing may contain earlier unique information about the later red-wing or total-line state.</w:t>
      </w:r>
    </w:p>
    <w:p w14:paraId="6C55DB82"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3. Season-by-season interpretation and expected SURD behavior</w:t>
      </w:r>
    </w:p>
    <w:p w14:paraId="34D2FD8B"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2015: symmetric M-shaped profile</w:t>
      </w:r>
    </w:p>
    <w:p w14:paraId="1D5585F4"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describe 2015 as a symmetric M-shaped season. Both high-velocity wings have shorter lags than the core, which is consistent with a predominantly virialized, disk-like BLR.</w:t>
      </w:r>
    </w:p>
    <w:p w14:paraId="7500ADEA"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τcore</w:t>
      </w:r>
      <w:proofErr w:type="spellEnd"/>
      <w:r w:rsidRPr="009C0E75">
        <w:rPr>
          <w:rFonts w:ascii="Cambria Math" w:eastAsia="Cambria Math" w:hAnsi="Cambria Math" w:cs="Times New Roman"/>
          <w:kern w:val="0"/>
          <w:lang w:val="en-US"/>
          <w14:ligatures w14:val="none"/>
        </w:rPr>
        <w:t>.</w:t>
      </w:r>
    </w:p>
    <w:p w14:paraId="361CE6C4"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blue and red wings should carry approximately symmetric information.</w:t>
      </w:r>
    </w:p>
    <w:p w14:paraId="0DCDB151"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substantial redundancy term between the wings is physically plausible.</w:t>
      </w:r>
    </w:p>
    <w:p w14:paraId="2718282D"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wing-to-wing targets, neither direction should dominate strongly within uncertainty.</w:t>
      </w:r>
    </w:p>
    <w:p w14:paraId="64C9FF37"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reverberation scale is about 7.2 days; scan 0–20 days, with particular attention to 5–10 days.</w:t>
      </w:r>
    </w:p>
    <w:p w14:paraId="3450DC04"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2018: weak or poorly structured Hβ profile</w:t>
      </w:r>
    </w:p>
    <w:p w14:paraId="1D1542A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2018 Hβ velocity-resolved profile is less structured. Xi et al. do not assign a clean red-leading or blue-leading classification.</w:t>
      </w:r>
    </w:p>
    <w:p w14:paraId="53AB8352"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Do not impose a preferred direction between the wings.</w:t>
      </w:r>
    </w:p>
    <w:p w14:paraId="75D9BB86"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Expect weaker wing-specific unique terms, larger uncertainty, and possibly larger leakage.</w:t>
      </w:r>
    </w:p>
    <w:p w14:paraId="3CFC029C"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7.0 days; a 0–20 day scan is appropriate.</w:t>
      </w:r>
    </w:p>
    <w:p w14:paraId="2AFCE920"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2019: red-leading-blue tendency</w:t>
      </w:r>
    </w:p>
    <w:p w14:paraId="43882AE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2019, Xi et al. report a general red-leads-blue tendency, although the red- and blue-wing lags remain broadly comparable. The interpretation is inflow mixed with virialized motion.</w:t>
      </w:r>
    </w:p>
    <w:p w14:paraId="59E35F59"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w:t>
      </w:r>
    </w:p>
    <w:p w14:paraId="02CDBB58"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a future blue-wing target, the red wing may carry additional earlier information.</w:t>
      </w:r>
    </w:p>
    <w:p w14:paraId="2998C290"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red wing may be a stronger early predictor than the blue wing.</w:t>
      </w:r>
    </w:p>
    <w:p w14:paraId="646CCC81"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8.9 days; scan 0–20 days, focusing on roughly 7–12 days.</w:t>
      </w:r>
    </w:p>
    <w:p w14:paraId="3CEE5891"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exact red-to-blue differential lag is not tabulated and must be measured directly.</w:t>
      </w:r>
    </w:p>
    <w:p w14:paraId="1EC87524"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2020: blue-leading-red tendency</w:t>
      </w:r>
    </w:p>
    <w:p w14:paraId="0B429DFA"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describe 2020 as showing a blue-leads-red tendency, consistent with an outflow-like component.</w:t>
      </w:r>
    </w:p>
    <w:p w14:paraId="15B346A1"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w:t>
      </w:r>
    </w:p>
    <w:p w14:paraId="19A95AEB"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a future red-wing target, the blue wing may provide earlier unique information.</w:t>
      </w:r>
    </w:p>
    <w:p w14:paraId="1111A757"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blue wing may be the stronger early predictor.</w:t>
      </w:r>
    </w:p>
    <w:p w14:paraId="6D4D7065"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10.0 days; scan 0–25 days, focusing near 7–13 days.</w:t>
      </w:r>
    </w:p>
    <w:p w14:paraId="4EDDD0F2"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Because parts of the 2020 velocity-resolved structure are less reliable, significance testing is essential.</w:t>
      </w:r>
    </w:p>
    <w:p w14:paraId="2EA5B04D"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lastRenderedPageBreak/>
        <w:t>2021: red-leading-blue tendency</w:t>
      </w:r>
    </w:p>
    <w:p w14:paraId="25695264"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2021 profile again shows a red-leading-blue tendency, with an interpretation similar to 2019: inflow combined with virial motion.</w:t>
      </w:r>
    </w:p>
    <w:p w14:paraId="548A86B1"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w:t>
      </w:r>
    </w:p>
    <w:p w14:paraId="615E0F43"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red wing may predict the later blue-wing state.</w:t>
      </w:r>
    </w:p>
    <w:p w14:paraId="707C6ACF"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red wing may also carry earlier information about the future total Hβ flux.</w:t>
      </w:r>
    </w:p>
    <w:p w14:paraId="701A6F7F"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9.0 days; scan 0–20 days.</w:t>
      </w:r>
    </w:p>
    <w:p w14:paraId="41345558"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numerical wing-to-wing difference must be recomputed from the data.</w:t>
      </w:r>
    </w:p>
    <w:p w14:paraId="0FBAF4B4"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2023: blue-leading-red profile</w:t>
      </w:r>
    </w:p>
    <w:p w14:paraId="124A47CE"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In 2023, both Hβ and </w:t>
      </w:r>
      <w:proofErr w:type="spellStart"/>
      <w:r w:rsidRPr="009C0E75">
        <w:rPr>
          <w:rFonts w:ascii="Arial" w:eastAsia="Arial" w:hAnsi="Arial" w:cs="Times New Roman"/>
          <w:kern w:val="0"/>
          <w:sz w:val="21"/>
          <w:lang w:val="en-US"/>
          <w14:ligatures w14:val="none"/>
        </w:rPr>
        <w:t>Hγ</w:t>
      </w:r>
      <w:proofErr w:type="spellEnd"/>
      <w:r w:rsidRPr="009C0E75">
        <w:rPr>
          <w:rFonts w:ascii="Arial" w:eastAsia="Arial" w:hAnsi="Arial" w:cs="Times New Roman"/>
          <w:kern w:val="0"/>
          <w:sz w:val="21"/>
          <w:lang w:val="en-US"/>
          <w14:ligatures w14:val="none"/>
        </w:rPr>
        <w:t xml:space="preserve"> show a general blue-leads-red structure. The red wing has longer delays, and the maximum delay is shifted toward the blue side of the line core. Xi et al. interpret this as a mixture of outflow and virialized motion, while also noting that anisotropic illumination by a variable disk wind could produce similar behavior.</w:t>
      </w:r>
    </w:p>
    <w:p w14:paraId="46B155F8"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w:t>
      </w:r>
    </w:p>
    <w:p w14:paraId="1C3BE469"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a future red-wing target, the blue wing is the natural candidate for earlier unique information.</w:t>
      </w:r>
    </w:p>
    <w:p w14:paraId="40B65767"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blue wing may contain earlier predictive information than the red wing.</w:t>
      </w:r>
    </w:p>
    <w:p w14:paraId="2E43DA4B"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broad core bin from −1000 to +1000 km s−1 may mix regions with different lags and dilute the structure.</w:t>
      </w:r>
    </w:p>
    <w:p w14:paraId="7C1A3AD8"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15.6 +2.6/−2.9 days; scan 0–30 days, focusing near 12–20 days.</w:t>
      </w:r>
    </w:p>
    <w:p w14:paraId="15507B3D"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4. What Xi et al. do not provide numerically</w:t>
      </w:r>
    </w:p>
    <w:p w14:paraId="4B9495E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do not provide a season-by-season table with one blue-wing lag, one core lag, and one red-wing lag based on the fixed intervals used in the proposed SURD analysis:</w:t>
      </w:r>
    </w:p>
    <w:p w14:paraId="1E485282"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Blue: −3000 &lt; v &lt; −1000 km s⁻¹</w:t>
      </w:r>
    </w:p>
    <w:p w14:paraId="5791FB8C"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Core: −1000 &lt; v &lt; +1000 km s⁻¹</w:t>
      </w:r>
    </w:p>
    <w:p w14:paraId="166C1E27"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Red: +1000 &lt; v &lt; +3000 km s⁻¹</w:t>
      </w:r>
    </w:p>
    <w:p w14:paraId="4CCD6E0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Their equal-flux velocity bins are different from these fixed intervals. Therefore, the exact coarse-component lags must be recalculated for every season:</w:t>
      </w:r>
    </w:p>
    <w:p w14:paraId="00039ED3"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(s) = lag[B(s), F5100(s)]</w:t>
      </w:r>
    </w:p>
    <w:p w14:paraId="25F0BDAD"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(s) = lag[C(s), F5100(s)]</w:t>
      </w:r>
    </w:p>
    <w:p w14:paraId="1FA95218"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(s) = lag[R(s), F5100(s)]</w:t>
      </w:r>
    </w:p>
    <w:p w14:paraId="3DBF2585"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corresponding component-to-component differential lags are</w:t>
      </w:r>
    </w:p>
    <w:p w14:paraId="690F2363"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ΔτR</w:t>
      </w:r>
      <w:proofErr w:type="spellEnd"/>
      <w:r w:rsidRPr="009C0E75">
        <w:rPr>
          <w:rFonts w:ascii="Cambria Math" w:eastAsia="Cambria Math" w:hAnsi="Cambria Math" w:cs="Times New Roman"/>
          <w:kern w:val="0"/>
          <w:lang w:val="en-US"/>
          <w14:ligatures w14:val="none"/>
        </w:rPr>
        <w:t xml:space="preserve">−B(s) = </w:t>
      </w: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 xml:space="preserve">(s) − </w:t>
      </w: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(s)</w:t>
      </w:r>
    </w:p>
    <w:p w14:paraId="04CD7AD0"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ΔτC</w:t>
      </w:r>
      <w:proofErr w:type="spellEnd"/>
      <w:r w:rsidRPr="009C0E75">
        <w:rPr>
          <w:rFonts w:ascii="Cambria Math" w:eastAsia="Cambria Math" w:hAnsi="Cambria Math" w:cs="Times New Roman"/>
          <w:kern w:val="0"/>
          <w:lang w:val="en-US"/>
          <w14:ligatures w14:val="none"/>
        </w:rPr>
        <w:t xml:space="preserve">−B(s) = </w:t>
      </w: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 xml:space="preserve">(s) − </w:t>
      </w: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(s)</w:t>
      </w:r>
    </w:p>
    <w:p w14:paraId="59ED3BFA"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ΔτC</w:t>
      </w:r>
      <w:proofErr w:type="spellEnd"/>
      <w:r w:rsidRPr="009C0E75">
        <w:rPr>
          <w:rFonts w:ascii="Cambria Math" w:eastAsia="Cambria Math" w:hAnsi="Cambria Math" w:cs="Times New Roman"/>
          <w:kern w:val="0"/>
          <w:lang w:val="en-US"/>
          <w14:ligatures w14:val="none"/>
        </w:rPr>
        <w:t xml:space="preserve">−R(s) = </w:t>
      </w: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 xml:space="preserve">(s) − </w:t>
      </w: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(s)</w:t>
      </w:r>
    </w:p>
    <w:p w14:paraId="7D22CB6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Use an explicit sign convention:</w:t>
      </w:r>
    </w:p>
    <w:p w14:paraId="3AE2D3C3"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ΔτR</w:t>
      </w:r>
      <w:proofErr w:type="spellEnd"/>
      <w:r w:rsidRPr="009C0E75">
        <w:rPr>
          <w:rFonts w:ascii="Cambria Math" w:eastAsia="Cambria Math" w:hAnsi="Cambria Math" w:cs="Times New Roman"/>
          <w:kern w:val="0"/>
          <w:lang w:val="en-US"/>
          <w14:ligatures w14:val="none"/>
        </w:rPr>
        <w:t>−B &lt; 0  ⇒  red leads blue</w:t>
      </w:r>
    </w:p>
    <w:p w14:paraId="2AE2BE7A"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ΔτR</w:t>
      </w:r>
      <w:proofErr w:type="spellEnd"/>
      <w:r w:rsidRPr="009C0E75">
        <w:rPr>
          <w:rFonts w:ascii="Cambria Math" w:eastAsia="Cambria Math" w:hAnsi="Cambria Math" w:cs="Times New Roman"/>
          <w:kern w:val="0"/>
          <w:lang w:val="en-US"/>
          <w14:ligatures w14:val="none"/>
        </w:rPr>
        <w:t>−B &gt; 0  ⇒  blue leads red</w:t>
      </w:r>
    </w:p>
    <w:p w14:paraId="57B2119B"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lastRenderedPageBreak/>
        <w:t>5. Consequences for the four-target SURD study</w:t>
      </w:r>
    </w:p>
    <w:p w14:paraId="655A457E"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proposed targets are</w:t>
      </w:r>
    </w:p>
    <w:p w14:paraId="5328D8FA"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Y0 = </w:t>
      </w: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   Y1 = B,   Y2 = C,   Y3 = R.</w:t>
      </w:r>
    </w:p>
    <w:p w14:paraId="6118BF5E"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5.1 Integrated Hβ target</w:t>
      </w:r>
    </w:p>
    <w:p w14:paraId="0D725D1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line components may be used as predictors:</w:t>
      </w:r>
    </w:p>
    <w:p w14:paraId="776A941F"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Y0(t + τ) = </w:t>
      </w: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(t + τ),    X(t) = {B(t), C(t), R(t)}.</w:t>
      </w:r>
    </w:p>
    <w:p w14:paraId="4EC155C2"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At zero lag, the result is nearly algebraic because</w:t>
      </w:r>
    </w:p>
    <w:p w14:paraId="6A03CDEA"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(t) ≃ B(t) + C(t) + R(t).</w:t>
      </w:r>
    </w:p>
    <w:p w14:paraId="2EFF6D10"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Therefore, very small leakage at τ = 0 is not a physical discovery. The meaningful test conditions on the present total line:</w:t>
      </w:r>
    </w:p>
    <w:p w14:paraId="1807DD99"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I[</w:t>
      </w: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 xml:space="preserve">(t + τ); B(t), C(t), R(t) | </w:t>
      </w: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(t)].</w:t>
      </w:r>
    </w:p>
    <w:p w14:paraId="00CD07CF"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asks whether the current profile shape predicts future total flux beyond ordinary total-line memory.</w:t>
      </w:r>
    </w:p>
    <w:p w14:paraId="54B13FC7"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5.2 Blue-wing target</w:t>
      </w:r>
    </w:p>
    <w:p w14:paraId="2EE89C3F"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Y1(t + τ) = B(t + τ), the red wing is a plausible earlier predictor in red-leading seasons, especially 2019 and 2021. In blue-leading seasons such as 2020 and 2023, the blue wing is the earlier response, so the red wing should not be expected to predict it strongly.</w:t>
      </w:r>
    </w:p>
    <w:p w14:paraId="2CBEF1DB"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5.3 Core target</w:t>
      </w:r>
    </w:p>
    <w:p w14:paraId="345137A6"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Y2(t + τ) = C(t + τ), both wings may provide earlier information in virialized seasons such as 2015:</w:t>
      </w:r>
    </w:p>
    <w:p w14:paraId="2AD0B405"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 xml:space="preserve"> ≃ </w:t>
      </w: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w:t>
      </w:r>
    </w:p>
    <w:p w14:paraId="2397000E"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may produce strong redundancy between the wings or synergy if the joint wing state predicts the later core better than either wing separately.</w:t>
      </w:r>
    </w:p>
    <w:p w14:paraId="72E9E390"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5.4 Red-wing target</w:t>
      </w:r>
    </w:p>
    <w:p w14:paraId="11CBFA49"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Y3(t + τ) = R(t + τ), the blue wing is the most plausible earlier predictor in blue-leading seasons, especially 2020 and 2023.</w:t>
      </w:r>
    </w:p>
    <w:p w14:paraId="594D7672"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6. Expected qualitative SURD pattern by season</w:t>
      </w:r>
    </w:p>
    <w:tbl>
      <w:tblPr>
        <w:tblStyle w:val="TableGrid1"/>
        <w:tblW w:w="0" w:type="auto"/>
        <w:jc w:val="center"/>
        <w:tblLook w:val="04A0" w:firstRow="1" w:lastRow="0" w:firstColumn="1" w:lastColumn="0" w:noHBand="0" w:noVBand="1"/>
      </w:tblPr>
      <w:tblGrid>
        <w:gridCol w:w="2920"/>
        <w:gridCol w:w="3001"/>
        <w:gridCol w:w="3095"/>
      </w:tblGrid>
      <w:tr w:rsidR="009C0E75" w:rsidRPr="009C0E75" w14:paraId="02304919" w14:textId="77777777" w:rsidTr="005458C1">
        <w:trPr>
          <w:jc w:val="center"/>
        </w:trPr>
        <w:tc>
          <w:tcPr>
            <w:tcW w:w="3312" w:type="dxa"/>
            <w:shd w:val="clear" w:color="auto" w:fill="D9EAF7"/>
          </w:tcPr>
          <w:p w14:paraId="0BC5C88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Season</w:t>
            </w:r>
          </w:p>
        </w:tc>
        <w:tc>
          <w:tcPr>
            <w:tcW w:w="3312" w:type="dxa"/>
            <w:shd w:val="clear" w:color="auto" w:fill="D9EAF7"/>
          </w:tcPr>
          <w:p w14:paraId="3DAAF06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Xi et al. classification</w:t>
            </w:r>
          </w:p>
        </w:tc>
        <w:tc>
          <w:tcPr>
            <w:tcW w:w="3312" w:type="dxa"/>
            <w:shd w:val="clear" w:color="auto" w:fill="D9EAF7"/>
          </w:tcPr>
          <w:p w14:paraId="61D6A2CC"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Expected SURD asymmetry</w:t>
            </w:r>
          </w:p>
        </w:tc>
      </w:tr>
      <w:tr w:rsidR="009C0E75" w:rsidRPr="009C0E75" w14:paraId="6F97FCE0" w14:textId="77777777" w:rsidTr="005458C1">
        <w:trPr>
          <w:jc w:val="center"/>
        </w:trPr>
        <w:tc>
          <w:tcPr>
            <w:tcW w:w="3312" w:type="dxa"/>
          </w:tcPr>
          <w:p w14:paraId="1171078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2015</w:t>
            </w:r>
          </w:p>
        </w:tc>
        <w:tc>
          <w:tcPr>
            <w:tcW w:w="3312" w:type="dxa"/>
          </w:tcPr>
          <w:p w14:paraId="383A3F1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Symmetric M-shaped; virialized</w:t>
            </w:r>
          </w:p>
        </w:tc>
        <w:tc>
          <w:tcPr>
            <w:tcW w:w="3312" w:type="dxa"/>
          </w:tcPr>
          <w:p w14:paraId="2D92B0D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and red mainly symmetric/redundant; both may precede core</w:t>
            </w:r>
          </w:p>
        </w:tc>
      </w:tr>
      <w:tr w:rsidR="009C0E75" w:rsidRPr="009C0E75" w14:paraId="080D23EE" w14:textId="77777777" w:rsidTr="005458C1">
        <w:trPr>
          <w:jc w:val="center"/>
        </w:trPr>
        <w:tc>
          <w:tcPr>
            <w:tcW w:w="3312" w:type="dxa"/>
          </w:tcPr>
          <w:p w14:paraId="34CD217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2018</w:t>
            </w:r>
          </w:p>
        </w:tc>
        <w:tc>
          <w:tcPr>
            <w:tcW w:w="3312" w:type="dxa"/>
          </w:tcPr>
          <w:p w14:paraId="3C8A01C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Weakly structured Hβ profile</w:t>
            </w:r>
          </w:p>
        </w:tc>
        <w:tc>
          <w:tcPr>
            <w:tcW w:w="3312" w:type="dxa"/>
          </w:tcPr>
          <w:p w14:paraId="15736C4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No robust directional prediction; possibly larger leakage</w:t>
            </w:r>
          </w:p>
        </w:tc>
      </w:tr>
      <w:tr w:rsidR="009C0E75" w:rsidRPr="009C0E75" w14:paraId="332B0693" w14:textId="77777777" w:rsidTr="005458C1">
        <w:trPr>
          <w:jc w:val="center"/>
        </w:trPr>
        <w:tc>
          <w:tcPr>
            <w:tcW w:w="3312" w:type="dxa"/>
          </w:tcPr>
          <w:p w14:paraId="7B280FE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2019</w:t>
            </w:r>
          </w:p>
        </w:tc>
        <w:tc>
          <w:tcPr>
            <w:tcW w:w="3312" w:type="dxa"/>
          </w:tcPr>
          <w:p w14:paraId="4AF7758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leads blue; inflow-like</w:t>
            </w:r>
          </w:p>
        </w:tc>
        <w:tc>
          <w:tcPr>
            <w:tcW w:w="3312" w:type="dxa"/>
          </w:tcPr>
          <w:p w14:paraId="126476B7"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may uniquely predict later blue or total</w:t>
            </w:r>
          </w:p>
        </w:tc>
      </w:tr>
      <w:tr w:rsidR="009C0E75" w:rsidRPr="009C0E75" w14:paraId="5DFBF626" w14:textId="77777777" w:rsidTr="005458C1">
        <w:trPr>
          <w:jc w:val="center"/>
        </w:trPr>
        <w:tc>
          <w:tcPr>
            <w:tcW w:w="3312" w:type="dxa"/>
          </w:tcPr>
          <w:p w14:paraId="14A802C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2020</w:t>
            </w:r>
          </w:p>
        </w:tc>
        <w:tc>
          <w:tcPr>
            <w:tcW w:w="3312" w:type="dxa"/>
          </w:tcPr>
          <w:p w14:paraId="0C8064AB"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leads red; outflow-like</w:t>
            </w:r>
          </w:p>
        </w:tc>
        <w:tc>
          <w:tcPr>
            <w:tcW w:w="3312" w:type="dxa"/>
          </w:tcPr>
          <w:p w14:paraId="34A2A0B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may uniquely predict later red or total</w:t>
            </w:r>
          </w:p>
        </w:tc>
      </w:tr>
      <w:tr w:rsidR="009C0E75" w:rsidRPr="009C0E75" w14:paraId="49436E42" w14:textId="77777777" w:rsidTr="005458C1">
        <w:trPr>
          <w:jc w:val="center"/>
        </w:trPr>
        <w:tc>
          <w:tcPr>
            <w:tcW w:w="3312" w:type="dxa"/>
          </w:tcPr>
          <w:p w14:paraId="261F0B10"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2021</w:t>
            </w:r>
          </w:p>
        </w:tc>
        <w:tc>
          <w:tcPr>
            <w:tcW w:w="3312" w:type="dxa"/>
          </w:tcPr>
          <w:p w14:paraId="0FF836F0"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leads blue; inflow-like</w:t>
            </w:r>
          </w:p>
        </w:tc>
        <w:tc>
          <w:tcPr>
            <w:tcW w:w="3312" w:type="dxa"/>
          </w:tcPr>
          <w:p w14:paraId="40604BA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may uniquely predict later blue or total</w:t>
            </w:r>
          </w:p>
        </w:tc>
      </w:tr>
      <w:tr w:rsidR="009C0E75" w:rsidRPr="009C0E75" w14:paraId="096286A6" w14:textId="77777777" w:rsidTr="005458C1">
        <w:trPr>
          <w:jc w:val="center"/>
        </w:trPr>
        <w:tc>
          <w:tcPr>
            <w:tcW w:w="3312" w:type="dxa"/>
          </w:tcPr>
          <w:p w14:paraId="3AE9A7F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2023</w:t>
            </w:r>
          </w:p>
        </w:tc>
        <w:tc>
          <w:tcPr>
            <w:tcW w:w="3312" w:type="dxa"/>
          </w:tcPr>
          <w:p w14:paraId="30DDFF08"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leads red; outflow/virial mixture</w:t>
            </w:r>
          </w:p>
        </w:tc>
        <w:tc>
          <w:tcPr>
            <w:tcW w:w="3312" w:type="dxa"/>
          </w:tcPr>
          <w:p w14:paraId="4F8DAE3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may uniquely predict later red; broad core bin may mix distinct regions</w:t>
            </w:r>
          </w:p>
        </w:tc>
      </w:tr>
    </w:tbl>
    <w:p w14:paraId="23D44707"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lastRenderedPageBreak/>
        <w:t>7. Recommended lag ranges</w:t>
      </w:r>
    </w:p>
    <w:p w14:paraId="21B59E47"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7.1 Continuum-to-component lags</w:t>
      </w:r>
    </w:p>
    <w:tbl>
      <w:tblPr>
        <w:tblStyle w:val="TableGrid1"/>
        <w:tblW w:w="0" w:type="auto"/>
        <w:jc w:val="center"/>
        <w:tblLook w:val="04A0" w:firstRow="1" w:lastRow="0" w:firstColumn="1" w:lastColumn="0" w:noHBand="0" w:noVBand="1"/>
      </w:tblPr>
      <w:tblGrid>
        <w:gridCol w:w="4469"/>
        <w:gridCol w:w="4547"/>
      </w:tblGrid>
      <w:tr w:rsidR="009C0E75" w:rsidRPr="009C0E75" w14:paraId="74105ECE" w14:textId="77777777" w:rsidTr="005458C1">
        <w:trPr>
          <w:jc w:val="center"/>
        </w:trPr>
        <w:tc>
          <w:tcPr>
            <w:tcW w:w="4968" w:type="dxa"/>
            <w:shd w:val="clear" w:color="auto" w:fill="D9EAF7"/>
          </w:tcPr>
          <w:p w14:paraId="4F85CF40"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Season</w:t>
            </w:r>
          </w:p>
        </w:tc>
        <w:tc>
          <w:tcPr>
            <w:tcW w:w="4968" w:type="dxa"/>
            <w:shd w:val="clear" w:color="auto" w:fill="D9EAF7"/>
          </w:tcPr>
          <w:p w14:paraId="5B6CB2B3"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Recommended main scan</w:t>
            </w:r>
          </w:p>
        </w:tc>
      </w:tr>
      <w:tr w:rsidR="009C0E75" w:rsidRPr="009C0E75" w14:paraId="3CEF936E" w14:textId="77777777" w:rsidTr="005458C1">
        <w:trPr>
          <w:jc w:val="center"/>
        </w:trPr>
        <w:tc>
          <w:tcPr>
            <w:tcW w:w="4968" w:type="dxa"/>
          </w:tcPr>
          <w:p w14:paraId="3312069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2015</w:t>
            </w:r>
          </w:p>
        </w:tc>
        <w:tc>
          <w:tcPr>
            <w:tcW w:w="4968" w:type="dxa"/>
          </w:tcPr>
          <w:p w14:paraId="55947F9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7 d</w:t>
            </w:r>
          </w:p>
        </w:tc>
      </w:tr>
      <w:tr w:rsidR="009C0E75" w:rsidRPr="009C0E75" w14:paraId="47ED744C" w14:textId="77777777" w:rsidTr="005458C1">
        <w:trPr>
          <w:jc w:val="center"/>
        </w:trPr>
        <w:tc>
          <w:tcPr>
            <w:tcW w:w="4968" w:type="dxa"/>
          </w:tcPr>
          <w:p w14:paraId="4DF7B90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2018</w:t>
            </w:r>
          </w:p>
        </w:tc>
        <w:tc>
          <w:tcPr>
            <w:tcW w:w="4968" w:type="dxa"/>
          </w:tcPr>
          <w:p w14:paraId="33831C9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7 d</w:t>
            </w:r>
          </w:p>
        </w:tc>
      </w:tr>
      <w:tr w:rsidR="009C0E75" w:rsidRPr="009C0E75" w14:paraId="36B9398B" w14:textId="77777777" w:rsidTr="005458C1">
        <w:trPr>
          <w:jc w:val="center"/>
        </w:trPr>
        <w:tc>
          <w:tcPr>
            <w:tcW w:w="4968" w:type="dxa"/>
          </w:tcPr>
          <w:p w14:paraId="7B93697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2019</w:t>
            </w:r>
          </w:p>
        </w:tc>
        <w:tc>
          <w:tcPr>
            <w:tcW w:w="4968" w:type="dxa"/>
          </w:tcPr>
          <w:p w14:paraId="6141DC9C"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9 d</w:t>
            </w:r>
          </w:p>
        </w:tc>
      </w:tr>
      <w:tr w:rsidR="009C0E75" w:rsidRPr="009C0E75" w14:paraId="3591E7BD" w14:textId="77777777" w:rsidTr="005458C1">
        <w:trPr>
          <w:jc w:val="center"/>
        </w:trPr>
        <w:tc>
          <w:tcPr>
            <w:tcW w:w="4968" w:type="dxa"/>
          </w:tcPr>
          <w:p w14:paraId="7AE1606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2020</w:t>
            </w:r>
          </w:p>
        </w:tc>
        <w:tc>
          <w:tcPr>
            <w:tcW w:w="4968" w:type="dxa"/>
          </w:tcPr>
          <w:p w14:paraId="333C90F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0–25 d; focus near 10 d</w:t>
            </w:r>
          </w:p>
        </w:tc>
      </w:tr>
      <w:tr w:rsidR="009C0E75" w:rsidRPr="009C0E75" w14:paraId="7B243278" w14:textId="77777777" w:rsidTr="005458C1">
        <w:trPr>
          <w:jc w:val="center"/>
        </w:trPr>
        <w:tc>
          <w:tcPr>
            <w:tcW w:w="4968" w:type="dxa"/>
          </w:tcPr>
          <w:p w14:paraId="3974043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2021</w:t>
            </w:r>
          </w:p>
        </w:tc>
        <w:tc>
          <w:tcPr>
            <w:tcW w:w="4968" w:type="dxa"/>
          </w:tcPr>
          <w:p w14:paraId="32D39C6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9 d</w:t>
            </w:r>
          </w:p>
        </w:tc>
      </w:tr>
      <w:tr w:rsidR="009C0E75" w:rsidRPr="009C0E75" w14:paraId="19716B6C" w14:textId="77777777" w:rsidTr="005458C1">
        <w:trPr>
          <w:jc w:val="center"/>
        </w:trPr>
        <w:tc>
          <w:tcPr>
            <w:tcW w:w="4968" w:type="dxa"/>
          </w:tcPr>
          <w:p w14:paraId="36B12CF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2023</w:t>
            </w:r>
          </w:p>
        </w:tc>
        <w:tc>
          <w:tcPr>
            <w:tcW w:w="4968" w:type="dxa"/>
          </w:tcPr>
          <w:p w14:paraId="4617C871"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0–30 d; focus near 16 d</w:t>
            </w:r>
          </w:p>
        </w:tc>
      </w:tr>
    </w:tbl>
    <w:p w14:paraId="2F32D5F1"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7.2 Component-to-component differential lags</w:t>
      </w:r>
    </w:p>
    <w:p w14:paraId="4C4651DF"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red–blue, wing–core, and similar comparisons, use signed delays such as</w:t>
      </w:r>
    </w:p>
    <w:p w14:paraId="40BFB140"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−15 d ≤ </w:t>
      </w:r>
      <w:proofErr w:type="spellStart"/>
      <w:r w:rsidRPr="009C0E75">
        <w:rPr>
          <w:rFonts w:ascii="Cambria Math" w:eastAsia="Cambria Math" w:hAnsi="Cambria Math" w:cs="Times New Roman"/>
          <w:kern w:val="0"/>
          <w:lang w:val="en-US"/>
          <w14:ligatures w14:val="none"/>
        </w:rPr>
        <w:t>Δτ</w:t>
      </w:r>
      <w:proofErr w:type="spellEnd"/>
      <w:r w:rsidRPr="009C0E75">
        <w:rPr>
          <w:rFonts w:ascii="Cambria Math" w:eastAsia="Cambria Math" w:hAnsi="Cambria Math" w:cs="Times New Roman"/>
          <w:kern w:val="0"/>
          <w:lang w:val="en-US"/>
          <w14:ligatures w14:val="none"/>
        </w:rPr>
        <w:t xml:space="preserve"> ≤ +15 d.</w:t>
      </w:r>
    </w:p>
    <w:p w14:paraId="14FFCAE8"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Signed lags are essential because the physical direction can reverse between epochs. Do not restrict the analysis to positive lags in only one arbitrarily selected direction.</w:t>
      </w:r>
    </w:p>
    <w:p w14:paraId="3417D3EA"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8. Main conclusion</w:t>
      </w:r>
    </w:p>
    <w:p w14:paraId="1129833D"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find that the integrated Hβ reverberation scale changes from about 7 days in 2015–2018 to about 16 days in 2023. More importantly, the internal velocity ordering changes with epoch:</w:t>
      </w:r>
    </w:p>
    <w:p w14:paraId="009C7CBA"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2015: blue and red wings respond similarly and before the core.</w:t>
      </w:r>
    </w:p>
    <w:p w14:paraId="0E699C94"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2018: no strong Hβ velocity ordering.</w:t>
      </w:r>
    </w:p>
    <w:p w14:paraId="04A8854E"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2019: red tends to lead blue.</w:t>
      </w:r>
    </w:p>
    <w:p w14:paraId="500EAE68"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2020: blue tends to lead red.</w:t>
      </w:r>
    </w:p>
    <w:p w14:paraId="5E459C4A"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2021: red tends to lead blue.</w:t>
      </w:r>
    </w:p>
    <w:p w14:paraId="2F89B693"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2023: blue tends to lead red.</w:t>
      </w:r>
    </w:p>
    <w:p w14:paraId="512DEA43"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do not provide exact coarse three-bin differences in days. Those values must be recalculated using the precise fixed velocity definitions adopted in the SURD project.</w:t>
      </w:r>
    </w:p>
    <w:p w14:paraId="6980E368" w14:textId="77777777" w:rsidR="009C0E75" w:rsidRPr="009C0E75" w:rsidRDefault="009C0E75" w:rsidP="009C0E75">
      <w:pPr>
        <w:spacing w:before="160" w:after="200" w:line="276" w:lineRule="auto"/>
        <w:jc w:val="center"/>
        <w:rPr>
          <w:rFonts w:ascii="Arial" w:eastAsia="Arial" w:hAnsi="Arial" w:cs="Times New Roman"/>
          <w:kern w:val="0"/>
          <w:sz w:val="21"/>
          <w:lang w:val="en-US"/>
          <w14:ligatures w14:val="none"/>
        </w:rPr>
      </w:pPr>
      <w:r w:rsidRPr="009C0E75">
        <w:rPr>
          <w:rFonts w:ascii="Arial" w:eastAsia="Arial" w:hAnsi="Arial" w:cs="Times New Roman"/>
          <w:b/>
          <w:kern w:val="0"/>
          <w:sz w:val="24"/>
          <w:lang w:val="en-US"/>
          <w14:ligatures w14:val="none"/>
        </w:rPr>
        <w:t>Do not combine all epochs into one stationary blue/core/red SURD decomposition.</w:t>
      </w:r>
    </w:p>
    <w:p w14:paraId="10A0E92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Combining epochs can average opposite directions—red to blue in one season and blue to red in another—and thereby generate misleading redundancy, synergy, or long-lag maxima. The strongest design is a season-resolved SURD analysis, followed by a comparison between the inferred SURD direction and the conventional kinematic classification for each epoch.</w:t>
      </w:r>
    </w:p>
    <w:p w14:paraId="77248436" w14:textId="77777777" w:rsidR="00205F15" w:rsidRPr="004755FC" w:rsidRDefault="00205F15" w:rsidP="00205F15">
      <w:pPr>
        <w:ind w:left="360"/>
        <w:rPr>
          <w:lang w:val="en-US"/>
        </w:rPr>
      </w:pPr>
    </w:p>
    <w:sectPr w:rsidR="00205F15" w:rsidRPr="00475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B7728"/>
    <w:multiLevelType w:val="hybridMultilevel"/>
    <w:tmpl w:val="57D05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490D3C"/>
    <w:multiLevelType w:val="hybridMultilevel"/>
    <w:tmpl w:val="C5DE8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B622A4"/>
    <w:multiLevelType w:val="hybridMultilevel"/>
    <w:tmpl w:val="64B010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67323203">
    <w:abstractNumId w:val="1"/>
  </w:num>
  <w:num w:numId="2" w16cid:durableId="248127311">
    <w:abstractNumId w:val="2"/>
  </w:num>
  <w:num w:numId="3" w16cid:durableId="3782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15"/>
    <w:rsid w:val="00093BC8"/>
    <w:rsid w:val="001500C0"/>
    <w:rsid w:val="001A1B81"/>
    <w:rsid w:val="001C223B"/>
    <w:rsid w:val="001E3E99"/>
    <w:rsid w:val="001E47B8"/>
    <w:rsid w:val="001E723D"/>
    <w:rsid w:val="001E75CC"/>
    <w:rsid w:val="00205F15"/>
    <w:rsid w:val="002C1947"/>
    <w:rsid w:val="00330609"/>
    <w:rsid w:val="003C2B5C"/>
    <w:rsid w:val="0041363E"/>
    <w:rsid w:val="00424842"/>
    <w:rsid w:val="004755FC"/>
    <w:rsid w:val="004C4C0D"/>
    <w:rsid w:val="00565D51"/>
    <w:rsid w:val="005832B4"/>
    <w:rsid w:val="00635C45"/>
    <w:rsid w:val="006752A3"/>
    <w:rsid w:val="00747A4F"/>
    <w:rsid w:val="007503F9"/>
    <w:rsid w:val="00776325"/>
    <w:rsid w:val="00791BC4"/>
    <w:rsid w:val="00791F1D"/>
    <w:rsid w:val="007B774D"/>
    <w:rsid w:val="00986386"/>
    <w:rsid w:val="009C0E75"/>
    <w:rsid w:val="009C7D8F"/>
    <w:rsid w:val="009D4F79"/>
    <w:rsid w:val="00A120A1"/>
    <w:rsid w:val="00A360EC"/>
    <w:rsid w:val="00A67352"/>
    <w:rsid w:val="00AA122E"/>
    <w:rsid w:val="00AD38E5"/>
    <w:rsid w:val="00AE51C7"/>
    <w:rsid w:val="00AF33EF"/>
    <w:rsid w:val="00B24803"/>
    <w:rsid w:val="00B604D7"/>
    <w:rsid w:val="00B72531"/>
    <w:rsid w:val="00C605A3"/>
    <w:rsid w:val="00C97C94"/>
    <w:rsid w:val="00CF7EF6"/>
    <w:rsid w:val="00D2069A"/>
    <w:rsid w:val="00DD3252"/>
    <w:rsid w:val="00E9642A"/>
    <w:rsid w:val="00EF018B"/>
    <w:rsid w:val="00F21B41"/>
    <w:rsid w:val="00F81F23"/>
    <w:rsid w:val="00FD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410F"/>
  <w15:chartTrackingRefBased/>
  <w15:docId w15:val="{26693FFB-C4F9-407B-B6E0-28762B11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F15"/>
    <w:rPr>
      <w:rFonts w:eastAsiaTheme="majorEastAsia" w:cstheme="majorBidi"/>
      <w:color w:val="272727" w:themeColor="text1" w:themeTint="D8"/>
    </w:rPr>
  </w:style>
  <w:style w:type="paragraph" w:styleId="Title">
    <w:name w:val="Title"/>
    <w:basedOn w:val="Normal"/>
    <w:next w:val="Normal"/>
    <w:link w:val="TitleChar"/>
    <w:uiPriority w:val="10"/>
    <w:qFormat/>
    <w:rsid w:val="00205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F15"/>
    <w:pPr>
      <w:spacing w:before="160"/>
      <w:jc w:val="center"/>
    </w:pPr>
    <w:rPr>
      <w:i/>
      <w:iCs/>
      <w:color w:val="404040" w:themeColor="text1" w:themeTint="BF"/>
    </w:rPr>
  </w:style>
  <w:style w:type="character" w:customStyle="1" w:styleId="QuoteChar">
    <w:name w:val="Quote Char"/>
    <w:basedOn w:val="DefaultParagraphFont"/>
    <w:link w:val="Quote"/>
    <w:uiPriority w:val="29"/>
    <w:rsid w:val="00205F15"/>
    <w:rPr>
      <w:i/>
      <w:iCs/>
      <w:color w:val="404040" w:themeColor="text1" w:themeTint="BF"/>
    </w:rPr>
  </w:style>
  <w:style w:type="paragraph" w:styleId="ListParagraph">
    <w:name w:val="List Paragraph"/>
    <w:basedOn w:val="Normal"/>
    <w:uiPriority w:val="34"/>
    <w:qFormat/>
    <w:rsid w:val="00205F15"/>
    <w:pPr>
      <w:ind w:left="720"/>
      <w:contextualSpacing/>
    </w:pPr>
  </w:style>
  <w:style w:type="character" w:styleId="IntenseEmphasis">
    <w:name w:val="Intense Emphasis"/>
    <w:basedOn w:val="DefaultParagraphFont"/>
    <w:uiPriority w:val="21"/>
    <w:qFormat/>
    <w:rsid w:val="00205F15"/>
    <w:rPr>
      <w:i/>
      <w:iCs/>
      <w:color w:val="0F4761" w:themeColor="accent1" w:themeShade="BF"/>
    </w:rPr>
  </w:style>
  <w:style w:type="paragraph" w:styleId="IntenseQuote">
    <w:name w:val="Intense Quote"/>
    <w:basedOn w:val="Normal"/>
    <w:next w:val="Normal"/>
    <w:link w:val="IntenseQuoteChar"/>
    <w:uiPriority w:val="30"/>
    <w:qFormat/>
    <w:rsid w:val="00205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F15"/>
    <w:rPr>
      <w:i/>
      <w:iCs/>
      <w:color w:val="0F4761" w:themeColor="accent1" w:themeShade="BF"/>
    </w:rPr>
  </w:style>
  <w:style w:type="character" w:styleId="IntenseReference">
    <w:name w:val="Intense Reference"/>
    <w:basedOn w:val="DefaultParagraphFont"/>
    <w:uiPriority w:val="32"/>
    <w:qFormat/>
    <w:rsid w:val="00205F15"/>
    <w:rPr>
      <w:b/>
      <w:bCs/>
      <w:smallCaps/>
      <w:color w:val="0F4761" w:themeColor="accent1" w:themeShade="BF"/>
      <w:spacing w:val="5"/>
    </w:rPr>
  </w:style>
  <w:style w:type="table" w:customStyle="1" w:styleId="TableGrid1">
    <w:name w:val="Table Grid1"/>
    <w:basedOn w:val="TableNormal"/>
    <w:next w:val="TableGrid"/>
    <w:uiPriority w:val="59"/>
    <w:rsid w:val="009C0E7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C0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1C5E7-8B95-4791-AB0B-A296FD9B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2220</Words>
  <Characters>12656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ZARIKAS VASILEIOS</dc:creator>
  <cp:keywords/>
  <dc:description/>
  <cp:lastModifiedBy>ZARIKAS VASILEIOS</cp:lastModifiedBy>
  <cp:revision>8</cp:revision>
  <dcterms:created xsi:type="dcterms:W3CDTF">2026-07-21T12:45:00Z</dcterms:created>
  <dcterms:modified xsi:type="dcterms:W3CDTF">2026-07-21T13:23:00Z</dcterms:modified>
</cp:coreProperties>
</file>