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SURD Paper Preparation Plan</w:t>
      </w:r>
    </w:p>
    <w:p>
      <w:r>
        <w:t>Project review and action checklist    10 September 2026</w:t>
      </w:r>
    </w:p>
    <w:p>
      <w:r>
        <w:t>We will develop a rigorous validation paper on information decomposition in irregular AGN observations. The immediate priority is to reconcile the data definitions and test sensitivity to sampling. The current results do not establish an astrophysical long lag detection. A useful paper must quantify both false positives and the responses the method could reliably detect.</w:t>
      </w:r>
    </w:p>
    <w:p>
      <w:pPr>
        <w:pStyle w:val="Heading2"/>
      </w:pPr>
      <w:r>
        <w:t>Verified starting point</w:t>
      </w:r>
    </w:p>
    <w:p>
      <w:r>
        <w:t>The existing audit source hashes match the current files. Recalculation from the saved 999 surrogate scans gives the results below. The review did not rerun every simulation. The analytic SURD examples and information accounting passed the existing audit.</w:t>
      </w:r>
    </w:p>
    <w:tbl>
      <w:tblPr>
        <w:tblStyle w:val="TableGrid"/>
        <w:tblW w:type="auto" w:w="0"/>
        <w:tblLook w:firstColumn="1" w:firstRow="1" w:lastColumn="0" w:lastRow="0" w:noHBand="0" w:noVBand="1" w:val="04A0"/>
      </w:tblPr>
      <w:tblGrid>
        <w:gridCol w:w="3312"/>
        <w:gridCol w:w="3312"/>
        <w:gridCol w:w="3312"/>
      </w:tblGrid>
      <w:tr>
        <w:tc>
          <w:tcPr>
            <w:tcW w:type="dxa" w:w="3312"/>
            <w:shd w:fill="E8EEF5"/>
            <w:tcBorders>
              <w:top w:val="single" w:sz="4" w:color="D9D9D9"/>
              <w:left w:val="single" w:sz="4" w:color="D9D9D9"/>
              <w:bottom w:val="single" w:sz="4" w:color="D9D9D9"/>
              <w:right w:val="single" w:sz="4" w:color="D9D9D9"/>
            </w:tcBorders>
          </w:tcPr>
          <w:p>
            <w:pPr>
              <w:spacing w:before="80" w:after="80"/>
            </w:pPr>
            <w:r>
              <w:rPr>
                <w:b/>
              </w:rPr>
              <w:t>Target</w:t>
            </w:r>
          </w:p>
        </w:tc>
        <w:tc>
          <w:tcPr>
            <w:tcW w:type="dxa" w:w="3312"/>
            <w:shd w:fill="E8EEF5"/>
            <w:tcBorders>
              <w:top w:val="single" w:sz="4" w:color="D9D9D9"/>
              <w:left w:val="single" w:sz="4" w:color="D9D9D9"/>
              <w:bottom w:val="single" w:sz="4" w:color="D9D9D9"/>
              <w:right w:val="single" w:sz="4" w:color="D9D9D9"/>
            </w:tcBorders>
          </w:tcPr>
          <w:p>
            <w:pPr>
              <w:spacing w:before="80" w:after="80"/>
            </w:pPr>
            <w:r>
              <w:rPr>
                <w:b/>
              </w:rPr>
              <w:t>Peak in days</w:t>
            </w:r>
          </w:p>
        </w:tc>
        <w:tc>
          <w:tcPr>
            <w:tcW w:type="dxa" w:w="3312"/>
            <w:shd w:fill="E8EEF5"/>
            <w:tcBorders>
              <w:top w:val="single" w:sz="4" w:color="D9D9D9"/>
              <w:left w:val="single" w:sz="4" w:color="D9D9D9"/>
              <w:bottom w:val="single" w:sz="4" w:color="D9D9D9"/>
              <w:right w:val="single" w:sz="4" w:color="D9D9D9"/>
            </w:tcBorders>
          </w:tcPr>
          <w:p>
            <w:pPr>
              <w:spacing w:before="80" w:after="80"/>
            </w:pPr>
            <w:r>
              <w:rPr>
                <w:b/>
              </w:rPr>
              <w:t>Global p value</w:t>
            </w:r>
          </w:p>
        </w:tc>
      </w:tr>
      <w:tr>
        <w:tc>
          <w:tcPr>
            <w:tcW w:type="dxa" w:w="3312"/>
            <w:tcBorders>
              <w:top w:val="single" w:sz="4" w:color="D9D9D9"/>
              <w:left w:val="single" w:sz="4" w:color="D9D9D9"/>
              <w:bottom w:val="single" w:sz="4" w:color="D9D9D9"/>
              <w:right w:val="single" w:sz="4" w:color="D9D9D9"/>
            </w:tcBorders>
          </w:tcPr>
          <w:p>
            <w:pPr>
              <w:spacing w:before="80" w:after="80"/>
            </w:pPr>
            <w:r>
              <w:t>Blue wing</w:t>
            </w:r>
          </w:p>
        </w:tc>
        <w:tc>
          <w:tcPr>
            <w:tcW w:type="dxa" w:w="3312"/>
            <w:tcBorders>
              <w:top w:val="single" w:sz="4" w:color="D9D9D9"/>
              <w:left w:val="single" w:sz="4" w:color="D9D9D9"/>
              <w:bottom w:val="single" w:sz="4" w:color="D9D9D9"/>
              <w:right w:val="single" w:sz="4" w:color="D9D9D9"/>
            </w:tcBorders>
          </w:tcPr>
          <w:p>
            <w:pPr>
              <w:spacing w:before="80" w:after="80"/>
            </w:pPr>
            <w:r>
              <w:t>93</w:t>
            </w:r>
          </w:p>
        </w:tc>
        <w:tc>
          <w:tcPr>
            <w:tcW w:type="dxa" w:w="3312"/>
            <w:tcBorders>
              <w:top w:val="single" w:sz="4" w:color="D9D9D9"/>
              <w:left w:val="single" w:sz="4" w:color="D9D9D9"/>
              <w:bottom w:val="single" w:sz="4" w:color="D9D9D9"/>
              <w:right w:val="single" w:sz="4" w:color="D9D9D9"/>
            </w:tcBorders>
          </w:tcPr>
          <w:p>
            <w:pPr>
              <w:spacing w:before="80" w:after="80"/>
            </w:pPr>
            <w:r>
              <w:t>0.936</w:t>
            </w:r>
          </w:p>
        </w:tc>
      </w:tr>
      <w:tr>
        <w:tc>
          <w:tcPr>
            <w:tcW w:type="dxa" w:w="3312"/>
            <w:tcBorders>
              <w:top w:val="single" w:sz="4" w:color="D9D9D9"/>
              <w:left w:val="single" w:sz="4" w:color="D9D9D9"/>
              <w:bottom w:val="single" w:sz="4" w:color="D9D9D9"/>
              <w:right w:val="single" w:sz="4" w:color="D9D9D9"/>
            </w:tcBorders>
          </w:tcPr>
          <w:p>
            <w:pPr>
              <w:spacing w:before="80" w:after="80"/>
            </w:pPr>
            <w:r>
              <w:t>Core</w:t>
            </w:r>
          </w:p>
        </w:tc>
        <w:tc>
          <w:tcPr>
            <w:tcW w:type="dxa" w:w="3312"/>
            <w:tcBorders>
              <w:top w:val="single" w:sz="4" w:color="D9D9D9"/>
              <w:left w:val="single" w:sz="4" w:color="D9D9D9"/>
              <w:bottom w:val="single" w:sz="4" w:color="D9D9D9"/>
              <w:right w:val="single" w:sz="4" w:color="D9D9D9"/>
            </w:tcBorders>
          </w:tcPr>
          <w:p>
            <w:pPr>
              <w:spacing w:before="80" w:after="80"/>
            </w:pPr>
            <w:r>
              <w:t>128</w:t>
            </w:r>
          </w:p>
        </w:tc>
        <w:tc>
          <w:tcPr>
            <w:tcW w:type="dxa" w:w="3312"/>
            <w:tcBorders>
              <w:top w:val="single" w:sz="4" w:color="D9D9D9"/>
              <w:left w:val="single" w:sz="4" w:color="D9D9D9"/>
              <w:bottom w:val="single" w:sz="4" w:color="D9D9D9"/>
              <w:right w:val="single" w:sz="4" w:color="D9D9D9"/>
            </w:tcBorders>
          </w:tcPr>
          <w:p>
            <w:pPr>
              <w:spacing w:before="80" w:after="80"/>
            </w:pPr>
            <w:r>
              <w:t>0.947</w:t>
            </w:r>
          </w:p>
        </w:tc>
      </w:tr>
      <w:tr>
        <w:tc>
          <w:tcPr>
            <w:tcW w:type="dxa" w:w="3312"/>
            <w:tcBorders>
              <w:top w:val="single" w:sz="4" w:color="D9D9D9"/>
              <w:left w:val="single" w:sz="4" w:color="D9D9D9"/>
              <w:bottom w:val="single" w:sz="4" w:color="D9D9D9"/>
              <w:right w:val="single" w:sz="4" w:color="D9D9D9"/>
            </w:tcBorders>
          </w:tcPr>
          <w:p>
            <w:pPr>
              <w:spacing w:before="80" w:after="80"/>
            </w:pPr>
            <w:r>
              <w:t>Red wing</w:t>
            </w:r>
          </w:p>
        </w:tc>
        <w:tc>
          <w:tcPr>
            <w:tcW w:type="dxa" w:w="3312"/>
            <w:tcBorders>
              <w:top w:val="single" w:sz="4" w:color="D9D9D9"/>
              <w:left w:val="single" w:sz="4" w:color="D9D9D9"/>
              <w:bottom w:val="single" w:sz="4" w:color="D9D9D9"/>
              <w:right w:val="single" w:sz="4" w:color="D9D9D9"/>
            </w:tcBorders>
          </w:tcPr>
          <w:p>
            <w:pPr>
              <w:spacing w:before="80" w:after="80"/>
            </w:pPr>
            <w:r>
              <w:t>198</w:t>
            </w:r>
          </w:p>
        </w:tc>
        <w:tc>
          <w:tcPr>
            <w:tcW w:type="dxa" w:w="3312"/>
            <w:tcBorders>
              <w:top w:val="single" w:sz="4" w:color="D9D9D9"/>
              <w:left w:val="single" w:sz="4" w:color="D9D9D9"/>
              <w:bottom w:val="single" w:sz="4" w:color="D9D9D9"/>
              <w:right w:val="single" w:sz="4" w:color="D9D9D9"/>
            </w:tcBorders>
          </w:tcPr>
          <w:p>
            <w:pPr>
              <w:spacing w:before="80" w:after="80"/>
            </w:pPr>
            <w:r>
              <w:t>0.873</w:t>
            </w:r>
          </w:p>
        </w:tc>
      </w:tr>
      <w:tr>
        <w:tc>
          <w:tcPr>
            <w:tcW w:type="dxa" w:w="3312"/>
            <w:tcBorders>
              <w:top w:val="single" w:sz="4" w:color="D9D9D9"/>
              <w:left w:val="single" w:sz="4" w:color="D9D9D9"/>
              <w:bottom w:val="single" w:sz="4" w:color="D9D9D9"/>
              <w:right w:val="single" w:sz="4" w:color="D9D9D9"/>
            </w:tcBorders>
          </w:tcPr>
          <w:p>
            <w:pPr>
              <w:spacing w:before="80" w:after="80"/>
            </w:pPr>
            <w:r>
              <w:t>Continuum</w:t>
            </w:r>
          </w:p>
        </w:tc>
        <w:tc>
          <w:tcPr>
            <w:tcW w:type="dxa" w:w="3312"/>
            <w:tcBorders>
              <w:top w:val="single" w:sz="4" w:color="D9D9D9"/>
              <w:left w:val="single" w:sz="4" w:color="D9D9D9"/>
              <w:bottom w:val="single" w:sz="4" w:color="D9D9D9"/>
              <w:right w:val="single" w:sz="4" w:color="D9D9D9"/>
            </w:tcBorders>
          </w:tcPr>
          <w:p>
            <w:pPr>
              <w:spacing w:before="80" w:after="80"/>
            </w:pPr>
            <w:r>
              <w:t>115</w:t>
            </w:r>
          </w:p>
        </w:tc>
        <w:tc>
          <w:tcPr>
            <w:tcW w:type="dxa" w:w="3312"/>
            <w:tcBorders>
              <w:top w:val="single" w:sz="4" w:color="D9D9D9"/>
              <w:left w:val="single" w:sz="4" w:color="D9D9D9"/>
              <w:bottom w:val="single" w:sz="4" w:color="D9D9D9"/>
              <w:right w:val="single" w:sz="4" w:color="D9D9D9"/>
            </w:tcBorders>
          </w:tcPr>
          <w:p>
            <w:pPr>
              <w:spacing w:before="80" w:after="80"/>
            </w:pPr>
            <w:r>
              <w:t>1.000</w:t>
            </w:r>
          </w:p>
        </w:tc>
      </w:tr>
    </w:tbl>
    <w:p>
      <w:pPr>
        <w:spacing w:before="160"/>
      </w:pPr>
      <w:r>
        <w:t>These values mean no significant maximum under the existing circular shift null. They do not prove absence of physical coupling.</w:t>
      </w:r>
    </w:p>
    <w:p>
      <w:pPr>
        <w:pStyle w:val="Heading2"/>
      </w:pPr>
      <w:r>
        <w:t>Issues that must be resolved</w:t>
      </w:r>
    </w:p>
    <w:p>
      <w:r>
        <w:t>Velocity definitions disagree. The manuscript gives boundaries at ±1000 and ±3000 km/s; the audit reproduces the saved fluxes using ±2000 and ±6000 km/s.</w:t>
      </w:r>
    </w:p>
    <w:p>
      <w:r>
        <w:t>The 1744 daily values are interpolated from 247 spectra on 226 distinct dates. The largest line observation gap is 105 days; 334 grid points bridge gaps longer than 30 days. Lagged tuple counts are not independent sample counts.</w:t>
      </w:r>
    </w:p>
    <w:p>
      <w:r>
        <w:t>Independent shifts destroy relationships among predictors as well as with the target. They test broad independence, not whether a wing adds information beyond continuum and target history. Minimum individual shifts do not ensure minimum relative shifts.</w:t>
      </w:r>
    </w:p>
    <w:p>
      <w:r>
        <w:t>The continuous estimator measures total and conditional mutual information, not individual SURD atoms. Its neighbour searches do not exclude nearby times.</w:t>
      </w:r>
    </w:p>
    <w:p>
      <w:r>
        <w:t>The history conditioning caption calls 0.4043 bits a global threshold, but the text identifies it as the median null maximum. Correct the caption and avoid claims that nonsignificance proves random noise or a specific bias mechanism.</w:t>
      </w:r>
    </w:p>
    <w:p>
      <w:r/>
    </w:p>
    <w:p>
      <w:pPr>
        <w:pStyle w:val="Heading1"/>
      </w:pPr>
      <w:r>
        <w:t>Analysis work in priority order</w:t>
      </w:r>
    </w:p>
    <w:p>
      <w:pPr>
        <w:pStyle w:val="Heading2"/>
      </w:pPr>
      <w:r>
        <w:t>1 Establish the authoritative data pipeline</w:t>
      </w:r>
    </w:p>
    <w:p>
      <w:r>
        <w:t>Verify archive time conventions, resolve velocity boundaries, document spectral integration and uncertainties, and define how observations on repeated dates are combined. Generate the manuscript data table from the selected inputs. Preserve the original files.</w:t>
      </w:r>
    </w:p>
    <w:p>
      <w:r>
        <w:rPr>
          <w:b/>
        </w:rPr>
        <w:t xml:space="preserve">Complete when: </w:t>
      </w:r>
      <w:r>
        <w:t>One documented loader produces the adopted light curves, with recorded inputs, units, time system, velocity intervals, duplicate handling and source hashes.</w:t>
      </w:r>
    </w:p>
    <w:p>
      <w:r>
        <w:t>Status: Open    Owner: __________________    Completed: ______________</w:t>
      </w:r>
    </w:p>
    <w:p>
      <w:pPr>
        <w:pStyle w:val="Heading2"/>
      </w:pPr>
      <w:r>
        <w:t>2 Run the decisive sampling comparison</w:t>
      </w:r>
    </w:p>
    <w:p>
      <w:r>
        <w:t>Compare current interpolation, interpolation with a maximum allowed gap, analysis within observing seasons, and pairing at native observation times. Choose gap and pairing settings before inspecting significance. Process simulations identically.</w:t>
      </w:r>
    </w:p>
    <w:p>
      <w:r>
        <w:rPr>
          <w:b/>
        </w:rPr>
        <w:t xml:space="preserve">Complete when: </w:t>
      </w:r>
      <w:r>
        <w:t>A comparison reports observation counts, tuple counts, gap rules, peak locations and calibrated significance for every adopted method. No interpolated count is described as independent sample size.</w:t>
      </w:r>
    </w:p>
    <w:p>
      <w:r>
        <w:t>Status: Open    Owner: __________________    Completed: ______________</w:t>
      </w:r>
    </w:p>
    <w:p>
      <w:pPr>
        <w:pStyle w:val="Heading2"/>
      </w:pPr>
      <w:r>
        <w:t>3 Calibrate false positives and detection power</w:t>
      </w:r>
    </w:p>
    <w:p>
      <w:r>
        <w:t>Inject known responses using the actual observation times and uncertainties. Include independent signals, a shared driver, delayed responses and controlled synergistic examples. Vary signal strength and response width. Extend the realistic synthetic case where lag recovery and intended atom dominance are already weak.</w:t>
      </w:r>
    </w:p>
    <w:p>
      <w:r>
        <w:rPr>
          <w:b/>
        </w:rPr>
        <w:t xml:space="preserve">Complete when: </w:t>
      </w:r>
      <w:r>
        <w:t>Recovery rates, false positive rates, lag errors and atom identification rates have uncertainty intervals. The paper states the range of signals detectable at the adopted decision threshold.</w:t>
      </w:r>
    </w:p>
    <w:p>
      <w:r>
        <w:t>Status: Open    Owner: __________________    Completed: ______________</w:t>
      </w:r>
    </w:p>
    <w:p>
      <w:pPr>
        <w:pStyle w:val="Heading2"/>
      </w:pPr>
      <w:r>
        <w:t>4 Test incremental predictive information</w:t>
      </w:r>
    </w:p>
    <w:p>
      <w:r>
        <w:t>Specify whether another velocity component adds information beyond continuum and target history. Build controls that preserve dependencies allowed under that null. Test sensitivity to temporal neighbour exclusion. Declare the family of scanned lags, targets and estimator settings.</w:t>
      </w:r>
    </w:p>
    <w:p>
      <w:r>
        <w:rPr>
          <w:b/>
        </w:rPr>
        <w:t xml:space="preserve">Complete when: </w:t>
      </w:r>
      <w:r>
        <w:t>The null hypothesis and its preserved relationships are explicit, and simulation calibration supports the inference. Any headline prediction claim also shows improvement on held out observing seasons against simple baselines.</w:t>
      </w:r>
    </w:p>
    <w:p>
      <w:r>
        <w:t>Status: Open    Owner: __________________    Completed: ______________</w:t>
      </w:r>
    </w:p>
    <w:p>
      <w:r>
        <w:t>Execution rule: finish data reconciliation before treating later numerical results as final. Update this checklist with the output path and decision for each completed task.</w:t>
      </w:r>
    </w:p>
    <w:p>
      <w:r/>
    </w:p>
    <w:p>
      <w:pPr>
        <w:pStyle w:val="Heading1"/>
      </w:pPr>
      <w:r>
        <w:t>Manuscript and release checklist</w:t>
      </w:r>
    </w:p>
    <w:p>
      <w:pPr>
        <w:pStyle w:val="Heading2"/>
      </w:pPr>
      <w:r>
        <w:t>5 Align the paper with the evidence</w:t>
      </w:r>
    </w:p>
    <w:p>
      <w:r>
        <w:t>Frame the contribution around astronomical validation and practical limits. Keep the distinction between mutual information and SURD atoms. Describe Mrk 817 as an external dependence check unless it actually replicates the same decomposition and scientific test. Separate exploratory choices from confirmatory tests.</w:t>
      </w:r>
    </w:p>
    <w:p>
      <w:r>
        <w:rPr>
          <w:b/>
        </w:rPr>
        <w:t xml:space="preserve">Complete when: </w:t>
      </w:r>
      <w:r>
        <w:t>Abstract, methods, figures and conclusions make the same bounded claims. No insignificant lag receives a physical interpretation without additional evidence.</w:t>
      </w:r>
    </w:p>
    <w:p>
      <w:r>
        <w:t>Status: Open    Owner: __________________    Completed: ______________</w:t>
      </w:r>
    </w:p>
    <w:p>
      <w:pPr>
        <w:pStyle w:val="Heading2"/>
      </w:pPr>
      <w:r>
        <w:t>Figure and text polish</w:t>
      </w:r>
    </w:p>
    <w:p>
      <w:r>
        <w:t>Open: Show native observation times and internal gaps in the data figure.</w:t>
      </w:r>
    </w:p>
    <w:p>
      <w:r>
        <w:t>Open: Make benchmark recovery and false positive calibration central results.</w:t>
      </w:r>
    </w:p>
    <w:p>
      <w:r>
        <w:t>Open: Show observed statistics beside null distributions and correctly labelled significance thresholds. Distinguish pointwise envelopes from scan significance.</w:t>
      </w:r>
    </w:p>
    <w:p>
      <w:r>
        <w:t>Open: Present robustness to sampling, binning and estimator settings without selecting only favourable cases.</w:t>
      </w:r>
    </w:p>
    <w:p>
      <w:r>
        <w:t>Open: Move extended derivations and auxiliary scans to appendices. Explain the primary statistic and normalization clearly in the main text.</w:t>
      </w:r>
    </w:p>
    <w:p>
      <w:r>
        <w:t>Open: Reconcile every table value and figure caption with a saved output. Replace causal discovery language where only observational dependence has been tested.</w:t>
      </w:r>
    </w:p>
    <w:p>
      <w:pPr>
        <w:pStyle w:val="Heading2"/>
      </w:pPr>
      <w:r>
        <w:t>Reproducibility and submission gate</w:t>
      </w:r>
    </w:p>
    <w:p>
      <w:r>
        <w:t>Open: Provide one documented execution path, pinned dependencies, seeds and configuration files. Replace machine specific paths in the adopted pipeline. Identify one authoritative manuscript and archive superseded versions. Map every figure and table to its generating script and data output.</w:t>
      </w:r>
    </w:p>
    <w:p>
      <w:r>
        <w:t>Ready for submission when the data definitions agree, the sampling comparison is complete, the tests have demonstrated calibration and power, all headline claims are supported, and the paper can be reproduced from documented inputs. A calibrated methods paper remains viable if no additional astrophysical signal survives.</w:t>
      </w:r>
    </w:p>
    <w:p>
      <w:pPr>
        <w:pStyle w:val="Heading2"/>
      </w:pPr>
      <w:r>
        <w:t>Evidence locations within the project</w:t>
      </w:r>
    </w:p>
    <w:p>
      <w:r>
        <w:t>audit/verification.json: audit findings and source hashes</w:t>
      </w:r>
    </w:p>
    <w:p>
      <w:r>
        <w:t>overleaf_draft/final_draft.tex: manuscript and passages requiring correction</w:t>
      </w:r>
    </w:p>
    <w:p>
      <w:r>
        <w:t>scratch/run_max_statistic_round_robin.py: primary surrogate construction</w:t>
      </w:r>
    </w:p>
    <w:p>
      <w:r>
        <w:t>run_knn_estimator_crosscheck.py: continuous information estimators</w:t>
      </w:r>
    </w:p>
    <w:p>
      <w:r>
        <w:t>agn_surd_project/processed/synthetic_validation_summary.csv: existing synthetic recovery results</w:t>
      </w:r>
    </w:p>
    <w:p>
      <w:r>
        <w:t>Method reference: Martínez Sánchez and collaborators, Nature Communications 15, article 9296 (2024). Use the original SURD paper to distinguish the established decomposition from our astronomical validation contribution.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SURD Paper Preparation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