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r>
        <w:rPr>
          <w:b/>
          <w:color w:val="214D43"/>
          <w:sz w:val="28"/>
        </w:rPr>
        <w:t>KAIPA  /  开爬</w:t>
      </w:r>
    </w:p>
    <w:p>
      <w:pPr>
        <w:pStyle w:val="Title"/>
      </w:pPr>
      <w:r>
        <w:t>商业计划书</w:t>
      </w:r>
    </w:p>
    <w:p>
      <w:pPr>
        <w:pStyle w:val="Subtitle"/>
      </w:pPr>
      <w:r>
        <w:t>面向徒步人群的</w:t>
        <w:br/>
        <w:t>行程准备与同行协作平台</w:t>
      </w:r>
    </w:p>
    <w:p>
      <w:pPr>
        <w:spacing w:before="480"/>
      </w:pPr>
      <w:r>
        <w:t>把攻略变成旅程，让每次出发更有准备。</w:t>
      </w:r>
    </w:p>
    <w:p>
      <w:pPr>
        <w:spacing w:before="700"/>
      </w:pPr>
      <w:r>
        <w:t>2026 年南宁市第十一届创业大赛</w:t>
      </w:r>
    </w:p>
    <w:p>
      <w:r>
        <w:t>项目名称：开爬 Kaipa——AI 辅助的户外行程与装备协作平台</w:t>
      </w:r>
    </w:p>
    <w:p>
      <w:r>
        <w:t>参赛主体／团队：【待补充】</w:t>
      </w:r>
    </w:p>
    <w:p>
      <w:r>
        <w:t>项目负责人及联系方式：【待补充】</w:t>
      </w:r>
    </w:p>
    <w:p>
      <w:r>
        <w:t>拟参赛赛道：【按实际资格确定】</w:t>
      </w:r>
    </w:p>
    <w:p>
      <w:r>
        <w:t>南宁落地情况：【待补充】</w:t>
      </w:r>
    </w:p>
    <w:p>
      <w:r>
        <w:t>编制日期：2026 年 10 月 19 日</w:t>
      </w:r>
    </w:p>
    <w:p>
      <w:r>
        <w:rPr>
          <w:color w:val="6B7A73"/>
          <w:sz w:val="18"/>
        </w:rPr>
        <w:t>工作稿：现有成果与未来规划已区分；主体及经营事实需补齐后提交。</w:t>
      </w:r>
    </w:p>
    <w:p>
      <w:r>
        <w:br w:type="page"/>
      </w:r>
    </w:p>
    <w:p>
      <w:pPr>
        <w:pStyle w:val="Heading1"/>
      </w:pPr>
      <w:r>
        <w:t>阅读导航</w:t>
      </w:r>
    </w:p>
    <w:p>
      <w:r>
        <w:t>一、执行摘要</w:t>
      </w:r>
    </w:p>
    <w:p>
      <w:r>
        <w:t>二、用户问题与市场切入</w:t>
      </w:r>
    </w:p>
    <w:p>
      <w:r>
        <w:t>三、产品方案与当前进度</w:t>
      </w:r>
    </w:p>
    <w:p>
      <w:r>
        <w:t>四、创新与竞争策略</w:t>
      </w:r>
    </w:p>
    <w:p>
      <w:r>
        <w:t>五、商业模式与收入验证</w:t>
      </w:r>
    </w:p>
    <w:p>
      <w:r>
        <w:t>六、南宁落地与市场推广</w:t>
      </w:r>
    </w:p>
    <w:p>
      <w:r>
        <w:t>七、团队与运营组织</w:t>
      </w:r>
    </w:p>
    <w:p>
      <w:r>
        <w:t>八、社会价值与就业带动</w:t>
      </w:r>
    </w:p>
    <w:p>
      <w:r>
        <w:t>九、三年财务测算</w:t>
      </w:r>
    </w:p>
    <w:p>
      <w:r>
        <w:t>十、资金需求与使用计划</w:t>
      </w:r>
    </w:p>
    <w:p>
      <w:r>
        <w:t>十一、发展里程碑</w:t>
      </w:r>
    </w:p>
    <w:p>
      <w:r>
        <w:t>十二、风险与应对</w:t>
      </w:r>
    </w:p>
    <w:p>
      <w:r>
        <w:t>十三、参赛资源诉求</w:t>
      </w:r>
    </w:p>
    <w:p>
      <w:r>
        <w:t>附录：资料依据与待补充事实</w:t>
      </w:r>
    </w:p>
    <w:p>
      <w:pPr>
        <w:pStyle w:val="Heading2"/>
      </w:pPr>
      <w:r>
        <w:t>编制口径</w:t>
      </w:r>
    </w:p>
    <w:p>
      <w:r>
        <w:t>产品描述以当前代码与文档为依据，未替代线上验收。用户、收入、团队与合作等事实尚待补充。价格、增长、财务、就业和落地安排为待验证计划；金额均为人民币。</w:t>
      </w:r>
    </w:p>
    <w:p>
      <w:r>
        <w:br w:type="page"/>
      </w:r>
    </w:p>
    <w:p>
      <w:pPr>
        <w:pStyle w:val="Heading1"/>
      </w:pPr>
      <w:r>
        <w:t>一、执行摘要</w:t>
      </w:r>
    </w:p>
    <w:p>
      <w:r>
        <w:rPr>
          <w:b w:val="0"/>
        </w:rPr>
        <w:t>开爬 Kaipa 为徒步和轻户外用户提供从路线选择、攻略转行程、装备整理到同行分享的一体化工具。项目抓住一个具体问题：用户已经在内容平台上找到了想去的地方，但仍需在多个应用、聊天记录和表格之间，反复整理每天怎么走、带什么、谁来准备、如何分享给同伴。</w:t>
      </w:r>
    </w:p>
    <w:p>
      <w:r>
        <w:rPr>
          <w:b w:val="0"/>
        </w:rPr>
        <w:t>开爬将这些准备工作组织为可保存、可修改、可复用的旅程。用户查看路线与攻略后，可以将攻略中的每日内容带入自己的旅程，再调整日期、整理个人装备和公共清单，并邀请同行者协作。个人装备库能够记录重量、价值、分类与套装，使一次出行的准备成果可以用于下一次出行。浏览器访客页降低了同行者必须安装 App 的门槛。</w:t>
      </w:r>
    </w:p>
    <w:p>
      <w:r>
        <w:rPr>
          <w:b w:val="0"/>
        </w:rPr>
        <w:t>项目采用“经审核的内容支撑行程，AI 辅助理解与整理”的产品路线。平台官方方案由运营人员设计、核实和发布；AI 用于需求理解、装备信息识别、内容整理及审核前的草稿辅助。面向当前重点建设的官方方案路径，每日行程由已发布内容和程序组装，用户确认后保存。平台不让未经核实的模型输出承担山地路线安全判断。</w:t>
      </w:r>
    </w:p>
    <w:p>
      <w:r>
        <w:rPr>
          <w:b w:val="0"/>
        </w:rPr>
        <w:t>现有仓库已具备跨平台移动应用、旅程与装备数据管理、攻略创建旅程、同行与分享、路线评论、会员配额和部分运营管理接口等代码基础。项目正处于产品完善与商业验证准备阶段。付费购买尚未开放，用户规模、真实营收及商业合作需以实际运营证据补充。</w:t>
      </w:r>
    </w:p>
    <w:p>
      <w:r>
        <w:rPr>
          <w:b w:val="0"/>
        </w:rPr>
        <w:t>商业化拟以个人会员订阅为主要收入来源，逐步验证俱乐部协作服务，并在获得有效服务供给与合规条件后开展本地服务合作。拟以南宁为首个运营试点，先服务城市周边低至中等强度、合规开放的徒步场景，再扩展广西目的地内容。通过路线内容核实、产品运营与本地合作，为户外内容编辑、路线核验、客户服务等岗位创造需求。</w:t>
      </w:r>
    </w:p>
    <w:p>
      <w:r>
        <w:rPr>
          <w:b w:val="0"/>
        </w:rPr>
        <w:t>基准测算按完整经营年度编制：第一年至第三年收入分别为 12.12 万元、60.65 万元、187.00 万元，经营结余分别为 -45.88 万元、-34.35 万元和 37.00 万元。拟筹措 100 万元用于约两年的验证和运营，分阶段投入。上述数据为经营假设，未包含已实现收入，也不将比赛奖金或尚未落实的补贴计入资金来源。</w:t>
      </w:r>
    </w:p>
    <w:p>
      <w:pPr>
        <w:pStyle w:val="Heading1"/>
      </w:pPr>
      <w:r>
        <w:t>二、用户问题与市场切入</w:t>
      </w:r>
    </w:p>
    <w:p>
      <w:pPr>
        <w:pStyle w:val="Heading2"/>
      </w:pPr>
      <w:r>
        <w:t>2.1 一个真实使用场景</w:t>
      </w:r>
    </w:p>
    <w:p>
      <w:r>
        <w:rPr>
          <w:b w:val="0"/>
        </w:rPr>
        <w:t>一位用户准备和朋友完成两天徒步。他在内容平台收藏了数篇攻略，在地图工具查看轨迹，在群里讨论住宿和接驳，又用备忘录列装备。临近出发，大家仍要反复确认：第二天走哪一段，谁带帐篷和炉具，路线有没有更新，最终版本到底是哪一份。</w:t>
      </w:r>
    </w:p>
    <w:p>
      <w:r>
        <w:rPr>
          <w:b w:val="0"/>
        </w:rPr>
        <w:t>问题并非没有内容，而是内容难以直接转化为共同执行的准备方案。用户每次出行都要重复搬运信息，同行者越多，确认成本越高。</w:t>
      </w:r>
    </w:p>
    <w:tbl>
      <w:tblPr>
        <w:tblStyle w:val="LightShading-Accent1"/>
        <w:tblW w:type="auto" w:w="0"/>
        <w:jc w:val="center"/>
        <w:tblLook w:firstColumn="1" w:firstRow="1" w:lastColumn="0" w:lastRow="0" w:noHBand="0" w:noVBand="1" w:val="04A0"/>
      </w:tblPr>
      <w:tblGrid>
        <w:gridCol w:w="3175"/>
        <w:gridCol w:w="3175"/>
        <w:gridCol w:w="3175"/>
      </w:tblGrid>
      <w:tr>
        <w:trPr>
          <w:cantSplit/>
          <w:tblHeader/>
        </w:trPr>
        <w:tc>
          <w:tcPr>
            <w:tcW w:type="dxa" w:w="3175"/>
            <w:vAlign w:val="center"/>
            <w:shd w:fill="214D43"/>
          </w:tcPr>
          <w:p>
            <w:pPr>
              <w:spacing w:after="80" w:before="80" w:line="276" w:lineRule="auto"/>
            </w:pPr>
            <w:r>
              <w:rPr>
                <w:b/>
                <w:color w:val="FFFFFF"/>
                <w:sz w:val="18"/>
              </w:rPr>
              <w:t>用户问题</w:t>
            </w:r>
          </w:p>
        </w:tc>
        <w:tc>
          <w:tcPr>
            <w:tcW w:type="dxa" w:w="3175"/>
            <w:vAlign w:val="center"/>
            <w:shd w:fill="214D43"/>
          </w:tcPr>
          <w:p>
            <w:pPr>
              <w:spacing w:after="80" w:before="80" w:line="276" w:lineRule="auto"/>
            </w:pPr>
            <w:r>
              <w:rPr>
                <w:b/>
                <w:color w:val="FFFFFF"/>
                <w:sz w:val="18"/>
              </w:rPr>
              <w:t>当前常见处理方式</w:t>
            </w:r>
          </w:p>
        </w:tc>
        <w:tc>
          <w:tcPr>
            <w:tcW w:type="dxa" w:w="3175"/>
            <w:vAlign w:val="center"/>
            <w:shd w:fill="214D43"/>
          </w:tcPr>
          <w:p>
            <w:pPr>
              <w:spacing w:after="80" w:before="80" w:line="276" w:lineRule="auto"/>
            </w:pPr>
            <w:r>
              <w:rPr>
                <w:b/>
                <w:color w:val="FFFFFF"/>
                <w:sz w:val="18"/>
              </w:rPr>
              <w:t>开爬提供的价值</w:t>
            </w:r>
          </w:p>
        </w:tc>
      </w:tr>
      <w:tr>
        <w:trPr>
          <w:cantSplit/>
        </w:trPr>
        <w:tc>
          <w:tcPr>
            <w:tcW w:type="dxa" w:w="3175"/>
            <w:vAlign w:val="center"/>
          </w:tcPr>
          <w:p>
            <w:pPr>
              <w:spacing w:after="80" w:before="80" w:line="276" w:lineRule="auto"/>
            </w:pPr>
            <w:r>
              <w:rPr>
                <w:sz w:val="18"/>
              </w:rPr>
              <w:t>攻略分散，行程反复手抄</w:t>
            </w:r>
          </w:p>
        </w:tc>
        <w:tc>
          <w:tcPr>
            <w:tcW w:type="dxa" w:w="3175"/>
            <w:vAlign w:val="center"/>
          </w:tcPr>
          <w:p>
            <w:pPr>
              <w:spacing w:after="80" w:before="80" w:line="276" w:lineRule="auto"/>
            </w:pPr>
            <w:r>
              <w:rPr>
                <w:sz w:val="18"/>
              </w:rPr>
              <w:t>收藏文章、截图、手动整理表格</w:t>
            </w:r>
          </w:p>
        </w:tc>
        <w:tc>
          <w:tcPr>
            <w:tcW w:type="dxa" w:w="3175"/>
            <w:vAlign w:val="center"/>
          </w:tcPr>
          <w:p>
            <w:pPr>
              <w:spacing w:after="80" w:before="80" w:line="276" w:lineRule="auto"/>
            </w:pPr>
            <w:r>
              <w:rPr>
                <w:sz w:val="18"/>
              </w:rPr>
              <w:t>将已支持的攻略逐日内容带入旅程</w:t>
            </w:r>
          </w:p>
        </w:tc>
      </w:tr>
      <w:tr>
        <w:trPr>
          <w:cantSplit/>
        </w:trPr>
        <w:tc>
          <w:tcPr>
            <w:tcW w:type="dxa" w:w="3175"/>
            <w:vAlign w:val="center"/>
          </w:tcPr>
          <w:p>
            <w:pPr>
              <w:spacing w:after="80" w:before="80" w:line="276" w:lineRule="auto"/>
            </w:pPr>
            <w:r>
              <w:rPr>
                <w:sz w:val="18"/>
              </w:rPr>
              <w:t>装备每次重新列，重量难汇总</w:t>
            </w:r>
          </w:p>
        </w:tc>
        <w:tc>
          <w:tcPr>
            <w:tcW w:type="dxa" w:w="3175"/>
            <w:vAlign w:val="center"/>
          </w:tcPr>
          <w:p>
            <w:pPr>
              <w:spacing w:after="80" w:before="80" w:line="276" w:lineRule="auto"/>
            </w:pPr>
            <w:r>
              <w:rPr>
                <w:sz w:val="18"/>
              </w:rPr>
              <w:t>备忘录、表格、临时群消息</w:t>
            </w:r>
          </w:p>
        </w:tc>
        <w:tc>
          <w:tcPr>
            <w:tcW w:type="dxa" w:w="3175"/>
            <w:vAlign w:val="center"/>
          </w:tcPr>
          <w:p>
            <w:pPr>
              <w:spacing w:after="80" w:before="80" w:line="276" w:lineRule="auto"/>
            </w:pPr>
            <w:r>
              <w:rPr>
                <w:sz w:val="18"/>
              </w:rPr>
              <w:t>个人装备库、分类、套装和重量统计</w:t>
            </w:r>
          </w:p>
        </w:tc>
      </w:tr>
      <w:tr>
        <w:trPr>
          <w:cantSplit/>
        </w:trPr>
        <w:tc>
          <w:tcPr>
            <w:tcW w:type="dxa" w:w="3175"/>
            <w:vAlign w:val="center"/>
          </w:tcPr>
          <w:p>
            <w:pPr>
              <w:spacing w:after="80" w:before="80" w:line="276" w:lineRule="auto"/>
            </w:pPr>
            <w:r>
              <w:rPr>
                <w:sz w:val="18"/>
              </w:rPr>
              <w:t>公共装备重复带或遗漏</w:t>
            </w:r>
          </w:p>
        </w:tc>
        <w:tc>
          <w:tcPr>
            <w:tcW w:type="dxa" w:w="3175"/>
            <w:vAlign w:val="center"/>
          </w:tcPr>
          <w:p>
            <w:pPr>
              <w:spacing w:after="80" w:before="80" w:line="276" w:lineRule="auto"/>
            </w:pPr>
            <w:r>
              <w:rPr>
                <w:sz w:val="18"/>
              </w:rPr>
              <w:t>群内逐个询问、口头分配</w:t>
            </w:r>
          </w:p>
        </w:tc>
        <w:tc>
          <w:tcPr>
            <w:tcW w:type="dxa" w:w="3175"/>
            <w:vAlign w:val="center"/>
          </w:tcPr>
          <w:p>
            <w:pPr>
              <w:spacing w:after="80" w:before="80" w:line="276" w:lineRule="auto"/>
            </w:pPr>
            <w:r>
              <w:rPr>
                <w:sz w:val="18"/>
              </w:rPr>
              <w:t>个人与公共清单协同准备</w:t>
            </w:r>
          </w:p>
        </w:tc>
      </w:tr>
      <w:tr>
        <w:trPr>
          <w:cantSplit/>
        </w:trPr>
        <w:tc>
          <w:tcPr>
            <w:tcW w:type="dxa" w:w="3175"/>
            <w:vAlign w:val="center"/>
          </w:tcPr>
          <w:p>
            <w:pPr>
              <w:spacing w:after="80" w:before="80" w:line="276" w:lineRule="auto"/>
            </w:pPr>
            <w:r>
              <w:rPr>
                <w:sz w:val="18"/>
              </w:rPr>
              <w:t>修改后难统一版本</w:t>
            </w:r>
          </w:p>
        </w:tc>
        <w:tc>
          <w:tcPr>
            <w:tcW w:type="dxa" w:w="3175"/>
            <w:vAlign w:val="center"/>
          </w:tcPr>
          <w:p>
            <w:pPr>
              <w:spacing w:after="80" w:before="80" w:line="276" w:lineRule="auto"/>
            </w:pPr>
            <w:r>
              <w:rPr>
                <w:sz w:val="18"/>
              </w:rPr>
              <w:t>多份截图和表格并存</w:t>
            </w:r>
          </w:p>
        </w:tc>
        <w:tc>
          <w:tcPr>
            <w:tcW w:type="dxa" w:w="3175"/>
            <w:vAlign w:val="center"/>
          </w:tcPr>
          <w:p>
            <w:pPr>
              <w:spacing w:after="80" w:before="80" w:line="276" w:lineRule="auto"/>
            </w:pPr>
            <w:r>
              <w:rPr>
                <w:sz w:val="18"/>
              </w:rPr>
              <w:t>将旅程内容集中保存并支持版本管理</w:t>
            </w:r>
          </w:p>
        </w:tc>
      </w:tr>
      <w:tr>
        <w:trPr>
          <w:cantSplit/>
        </w:trPr>
        <w:tc>
          <w:tcPr>
            <w:tcW w:type="dxa" w:w="3175"/>
            <w:vAlign w:val="center"/>
          </w:tcPr>
          <w:p>
            <w:pPr>
              <w:spacing w:after="80" w:before="80" w:line="276" w:lineRule="auto"/>
            </w:pPr>
            <w:r>
              <w:rPr>
                <w:sz w:val="18"/>
              </w:rPr>
              <w:t>同伴参与成本高</w:t>
            </w:r>
          </w:p>
        </w:tc>
        <w:tc>
          <w:tcPr>
            <w:tcW w:type="dxa" w:w="3175"/>
            <w:vAlign w:val="center"/>
          </w:tcPr>
          <w:p>
            <w:pPr>
              <w:spacing w:after="80" w:before="80" w:line="276" w:lineRule="auto"/>
            </w:pPr>
            <w:r>
              <w:rPr>
                <w:sz w:val="18"/>
              </w:rPr>
              <w:t>要求所有人安装同一应用</w:t>
            </w:r>
          </w:p>
        </w:tc>
        <w:tc>
          <w:tcPr>
            <w:tcW w:type="dxa" w:w="3175"/>
            <w:vAlign w:val="center"/>
          </w:tcPr>
          <w:p>
            <w:pPr>
              <w:spacing w:after="80" w:before="80" w:line="276" w:lineRule="auto"/>
            </w:pPr>
            <w:r>
              <w:rPr>
                <w:sz w:val="18"/>
              </w:rPr>
              <w:t>App 内协作与浏览器访客分享结合</w:t>
            </w:r>
          </w:p>
        </w:tc>
      </w:tr>
      <w:tr>
        <w:trPr>
          <w:cantSplit/>
        </w:trPr>
        <w:tc>
          <w:tcPr>
            <w:tcW w:type="dxa" w:w="3175"/>
            <w:vAlign w:val="center"/>
          </w:tcPr>
          <w:p>
            <w:pPr>
              <w:spacing w:after="80" w:before="80" w:line="276" w:lineRule="auto"/>
            </w:pPr>
            <w:r>
              <w:rPr>
                <w:sz w:val="18"/>
              </w:rPr>
              <w:t>网络差时准备资料难查看</w:t>
            </w:r>
          </w:p>
        </w:tc>
        <w:tc>
          <w:tcPr>
            <w:tcW w:type="dxa" w:w="3175"/>
            <w:vAlign w:val="center"/>
          </w:tcPr>
          <w:p>
            <w:pPr>
              <w:spacing w:after="80" w:before="80" w:line="276" w:lineRule="auto"/>
            </w:pPr>
            <w:r>
              <w:rPr>
                <w:sz w:val="18"/>
              </w:rPr>
              <w:t>依赖临时打开在线页面</w:t>
            </w:r>
          </w:p>
        </w:tc>
        <w:tc>
          <w:tcPr>
            <w:tcW w:type="dxa" w:w="3175"/>
            <w:vAlign w:val="center"/>
          </w:tcPr>
          <w:p>
            <w:pPr>
              <w:spacing w:after="80" w:before="80" w:line="276" w:lineRule="auto"/>
            </w:pPr>
            <w:r>
              <w:rPr>
                <w:sz w:val="18"/>
              </w:rPr>
              <w:t>已缓存的核心个人数据继续可见</w:t>
            </w:r>
          </w:p>
        </w:tc>
      </w:tr>
    </w:tbl>
    <w:p>
      <w:pPr>
        <w:spacing w:after="0"/>
      </w:pPr>
    </w:p>
    <w:p>
      <w:pPr>
        <w:pStyle w:val="Heading2"/>
      </w:pPr>
      <w:r>
        <w:t>2.2 首批服务对象</w:t>
      </w:r>
    </w:p>
    <w:p>
      <w:r>
        <w:rPr>
          <w:b w:val="0"/>
        </w:rPr>
        <w:t>首要用户是有明确出行意向、需要自主准备的徒步者，以及经常负责组织朋友出行的核心成员。初期重点服务周末一日线和短途两至三日行程，减少目的地跨度与内容维护负担。</w:t>
      </w:r>
    </w:p>
    <w:p>
      <w:r>
        <w:rPr>
          <w:b w:val="0"/>
        </w:rPr>
        <w:t>次要用户是小型户外俱乐部和稳定的兴趣社群。组织者可以带来多位同行者，也有更明确的模板复用和出发前沟通需求。但机构版需要额外验证多活动管理、工作人员权限、客户支持与数据隔离，不将现有个人协作直接等同于成熟机构软件。</w:t>
      </w:r>
    </w:p>
    <w:p>
      <w:r>
        <w:rPr>
          <w:b w:val="0"/>
        </w:rPr>
        <w:t>初期不覆盖技术攀登、探险救援或依赖专业资质的高风险服务，也不以全国路线数量作为首要竞争指标。</w:t>
      </w:r>
    </w:p>
    <w:p>
      <w:pPr>
        <w:pStyle w:val="Heading2"/>
      </w:pPr>
      <w:r>
        <w:t>2.3 市场测算方法</w:t>
      </w:r>
    </w:p>
    <w:p>
      <w:r>
        <w:rPr>
          <w:b w:val="0"/>
        </w:rPr>
        <w:t>本计划书不将旅游总收入、户外用品销售额直接等同于软件市场规模。项目应先回答：能够持续触达多少有出行任务的用户，其中多少人愿意为准备效率和持续记录付费。</w:t>
      </w:r>
    </w:p>
    <w:p>
      <w:r>
        <w:rPr>
          <w:b w:val="0"/>
        </w:rPr>
        <w:t>三年基准情景以第三年 10 万名年度活跃用户、其中平均 1 万名付费有效用户作为经营目标。按每个付费有效用户年净收入 99 元计算，个人会员收入为 99 万元。该比例是待验证的经营假设，并非现有渗透率或外部市场研究结论。</w:t>
      </w:r>
    </w:p>
    <w:p>
      <w:r>
        <w:rPr>
          <w:b w:val="0"/>
        </w:rPr>
        <w:t>机构端按第三年 60 家付费机构、单家年净收入 1.2 万元测算，收入为 72 万元。合作服务端按 8,000 笔年度有效结算交易、每笔 400 元和 5% 净服务费率测算，收入为 16 万元。详细测算见第九章。</w:t>
      </w:r>
    </w:p>
    <w:p>
      <w:r>
        <w:rPr>
          <w:b w:val="0"/>
        </w:rPr>
        <w:t>这个切入规模足以检验小团队能否持续经营。若用户留存与付费不足，应先调整产品和成本，而不是扩大市场规模叙事。</w:t>
      </w:r>
    </w:p>
    <w:p>
      <w:pPr>
        <w:pStyle w:val="Heading2"/>
      </w:pPr>
      <w:r>
        <w:t>2.4 需求验证安排</w:t>
      </w:r>
    </w:p>
    <w:p>
      <w:r>
        <w:rPr>
          <w:b w:val="0"/>
        </w:rPr>
        <w:t>首轮拟访谈 30 名近半年有出行经历的徒步者和 10 名组织者，邀请其中部分用户完成一次真实出行准备。记录现用工具、重复劳动、装备信息管理方式、愿意付费的具体环节及不使用原因。</w:t>
      </w:r>
    </w:p>
    <w:p>
      <w:r>
        <w:rPr>
          <w:b w:val="0"/>
        </w:rPr>
        <w:t>验证以实际行为为依据：是否成功创建旅程、是否整理装备、是否邀请同伴、是否完成第二次准备；付费阶段记录真实购买和续费。访谈中的“感兴趣”不计为付费意愿成立。</w:t>
      </w:r>
    </w:p>
    <w:p>
      <w:pPr>
        <w:pStyle w:val="Heading1"/>
      </w:pPr>
      <w:r>
        <w:t>三、产品方案与当前进度</w:t>
      </w:r>
    </w:p>
    <w:p>
      <w:pPr>
        <w:pStyle w:val="Heading2"/>
      </w:pPr>
      <w:r>
        <w:t>3.1 产品主流程</w:t>
      </w:r>
    </w:p>
    <w:p>
      <w:r>
        <w:rPr>
          <w:b w:val="0"/>
        </w:rPr>
        <w:t>发现路线 → 查看攻略及资料日期 → 创建自己的旅程 → 调整日期与每日内容 → 整理装备和清单 → 邀请同行者 → 分享与沉淀下次可复用的资料。</w:t>
      </w:r>
    </w:p>
    <w:p>
      <w:r>
        <w:rPr>
          <w:b w:val="0"/>
        </w:rPr>
        <w:t>开爬将路线、攻略、旅程、装备和参与者建立关联。用户既可以围绕一次出行工作，也可以长期维护个人装备与行程记录，从而减少下一次出行的准备成本。</w:t>
      </w:r>
    </w:p>
    <w:p>
      <w:pPr>
        <w:pStyle w:val="Heading2"/>
      </w:pPr>
      <w:r>
        <w:t>3.2 能力与成熟度</w:t>
      </w:r>
    </w:p>
    <w:tbl>
      <w:tblPr>
        <w:tblStyle w:val="LightShading-Accent1"/>
        <w:tblW w:type="auto" w:w="0"/>
        <w:jc w:val="center"/>
        <w:tblLook w:firstColumn="1" w:firstRow="1" w:lastColumn="0" w:lastRow="0" w:noHBand="0" w:noVBand="1" w:val="04A0"/>
      </w:tblPr>
      <w:tblGrid>
        <w:gridCol w:w="3175"/>
        <w:gridCol w:w="3175"/>
        <w:gridCol w:w="3175"/>
      </w:tblGrid>
      <w:tr>
        <w:trPr>
          <w:cantSplit/>
          <w:tblHeader/>
        </w:trPr>
        <w:tc>
          <w:tcPr>
            <w:tcW w:type="dxa" w:w="3175"/>
            <w:vAlign w:val="center"/>
            <w:shd w:fill="214D43"/>
          </w:tcPr>
          <w:p>
            <w:pPr>
              <w:spacing w:after="80" w:before="80" w:line="276" w:lineRule="auto"/>
            </w:pPr>
            <w:r>
              <w:rPr>
                <w:b/>
                <w:color w:val="FFFFFF"/>
                <w:sz w:val="18"/>
              </w:rPr>
              <w:t>模块</w:t>
            </w:r>
          </w:p>
        </w:tc>
        <w:tc>
          <w:tcPr>
            <w:tcW w:type="dxa" w:w="3175"/>
            <w:vAlign w:val="center"/>
            <w:shd w:fill="214D43"/>
          </w:tcPr>
          <w:p>
            <w:pPr>
              <w:spacing w:after="80" w:before="80" w:line="276" w:lineRule="auto"/>
            </w:pPr>
            <w:r>
              <w:rPr>
                <w:b/>
                <w:color w:val="FFFFFF"/>
                <w:sz w:val="18"/>
              </w:rPr>
              <w:t>当前仓库可确认的基础</w:t>
            </w:r>
          </w:p>
        </w:tc>
        <w:tc>
          <w:tcPr>
            <w:tcW w:type="dxa" w:w="3175"/>
            <w:vAlign w:val="center"/>
            <w:shd w:fill="214D43"/>
          </w:tcPr>
          <w:p>
            <w:pPr>
              <w:spacing w:after="80" w:before="80" w:line="276" w:lineRule="auto"/>
            </w:pPr>
            <w:r>
              <w:rPr>
                <w:b/>
                <w:color w:val="FFFFFF"/>
                <w:sz w:val="18"/>
              </w:rPr>
              <w:t>参赛及运营表述边界</w:t>
            </w:r>
          </w:p>
        </w:tc>
      </w:tr>
      <w:tr>
        <w:trPr>
          <w:cantSplit/>
        </w:trPr>
        <w:tc>
          <w:tcPr>
            <w:tcW w:type="dxa" w:w="3175"/>
            <w:vAlign w:val="center"/>
          </w:tcPr>
          <w:p>
            <w:pPr>
              <w:spacing w:after="80" w:before="80" w:line="276" w:lineRule="auto"/>
            </w:pPr>
            <w:r>
              <w:rPr>
                <w:sz w:val="18"/>
              </w:rPr>
              <w:t>路线发现</w:t>
            </w:r>
          </w:p>
        </w:tc>
        <w:tc>
          <w:tcPr>
            <w:tcW w:type="dxa" w:w="3175"/>
            <w:vAlign w:val="center"/>
          </w:tcPr>
          <w:p>
            <w:pPr>
              <w:spacing w:after="80" w:before="80" w:line="276" w:lineRule="auto"/>
            </w:pPr>
            <w:r>
              <w:rPr>
                <w:sz w:val="18"/>
              </w:rPr>
              <w:t>地图、路线卡片、筛选、轨迹与海拔展示</w:t>
            </w:r>
          </w:p>
        </w:tc>
        <w:tc>
          <w:tcPr>
            <w:tcW w:type="dxa" w:w="3175"/>
            <w:vAlign w:val="center"/>
          </w:tcPr>
          <w:p>
            <w:pPr>
              <w:spacing w:after="80" w:before="80" w:line="276" w:lineRule="auto"/>
            </w:pPr>
            <w:r>
              <w:rPr>
                <w:sz w:val="18"/>
              </w:rPr>
              <w:t>路线展示数量不等于已核实攻略数量</w:t>
            </w:r>
          </w:p>
        </w:tc>
      </w:tr>
      <w:tr>
        <w:trPr>
          <w:cantSplit/>
        </w:trPr>
        <w:tc>
          <w:tcPr>
            <w:tcW w:type="dxa" w:w="3175"/>
            <w:vAlign w:val="center"/>
          </w:tcPr>
          <w:p>
            <w:pPr>
              <w:spacing w:after="80" w:before="80" w:line="276" w:lineRule="auto"/>
            </w:pPr>
            <w:r>
              <w:rPr>
                <w:sz w:val="18"/>
              </w:rPr>
              <w:t>攻略转旅程</w:t>
            </w:r>
          </w:p>
        </w:tc>
        <w:tc>
          <w:tcPr>
            <w:tcW w:type="dxa" w:w="3175"/>
            <w:vAlign w:val="center"/>
          </w:tcPr>
          <w:p>
            <w:pPr>
              <w:spacing w:after="80" w:before="80" w:line="276" w:lineRule="auto"/>
            </w:pPr>
            <w:r>
              <w:rPr>
                <w:sz w:val="18"/>
              </w:rPr>
              <w:t>官方方案和用户攻略创建旅程的前后端代码、逐日内容导入</w:t>
            </w:r>
          </w:p>
        </w:tc>
        <w:tc>
          <w:tcPr>
            <w:tcW w:type="dxa" w:w="3175"/>
            <w:vAlign w:val="center"/>
          </w:tcPr>
          <w:p>
            <w:pPr>
              <w:spacing w:after="80" w:before="80" w:line="276" w:lineRule="auto"/>
            </w:pPr>
            <w:r>
              <w:rPr>
                <w:sz w:val="18"/>
              </w:rPr>
              <w:t>已发布内容覆盖与实际环境状态需逐项核验</w:t>
            </w:r>
          </w:p>
        </w:tc>
      </w:tr>
      <w:tr>
        <w:trPr>
          <w:cantSplit/>
        </w:trPr>
        <w:tc>
          <w:tcPr>
            <w:tcW w:type="dxa" w:w="3175"/>
            <w:vAlign w:val="center"/>
          </w:tcPr>
          <w:p>
            <w:pPr>
              <w:spacing w:after="80" w:before="80" w:line="276" w:lineRule="auto"/>
            </w:pPr>
            <w:r>
              <w:rPr>
                <w:sz w:val="18"/>
              </w:rPr>
              <w:t>旅程管理</w:t>
            </w:r>
          </w:p>
        </w:tc>
        <w:tc>
          <w:tcPr>
            <w:tcW w:type="dxa" w:w="3175"/>
            <w:vAlign w:val="center"/>
          </w:tcPr>
          <w:p>
            <w:pPr>
              <w:spacing w:after="80" w:before="80" w:line="276" w:lineRule="auto"/>
            </w:pPr>
            <w:r>
              <w:rPr>
                <w:sz w:val="18"/>
              </w:rPr>
              <w:t>创建编辑、每日分组、备注、成员、历史版本等</w:t>
            </w:r>
          </w:p>
        </w:tc>
        <w:tc>
          <w:tcPr>
            <w:tcW w:type="dxa" w:w="3175"/>
            <w:vAlign w:val="center"/>
          </w:tcPr>
          <w:p>
            <w:pPr>
              <w:spacing w:after="80" w:before="80" w:line="276" w:lineRule="auto"/>
            </w:pPr>
            <w:r>
              <w:rPr>
                <w:sz w:val="18"/>
              </w:rPr>
              <w:t>跨设备和弱网体验需用实际版本演示</w:t>
            </w:r>
          </w:p>
        </w:tc>
      </w:tr>
      <w:tr>
        <w:trPr>
          <w:cantSplit/>
        </w:trPr>
        <w:tc>
          <w:tcPr>
            <w:tcW w:type="dxa" w:w="3175"/>
            <w:vAlign w:val="center"/>
          </w:tcPr>
          <w:p>
            <w:pPr>
              <w:spacing w:after="80" w:before="80" w:line="276" w:lineRule="auto"/>
            </w:pPr>
            <w:r>
              <w:rPr>
                <w:sz w:val="18"/>
              </w:rPr>
              <w:t>装备管理</w:t>
            </w:r>
          </w:p>
        </w:tc>
        <w:tc>
          <w:tcPr>
            <w:tcW w:type="dxa" w:w="3175"/>
            <w:vAlign w:val="center"/>
          </w:tcPr>
          <w:p>
            <w:pPr>
              <w:spacing w:after="80" w:before="80" w:line="276" w:lineRule="auto"/>
            </w:pPr>
            <w:r>
              <w:rPr>
                <w:sz w:val="18"/>
              </w:rPr>
              <w:t>装备库、分类、套装、重量和价值统计、图片识别及链接解析接口</w:t>
            </w:r>
          </w:p>
        </w:tc>
        <w:tc>
          <w:tcPr>
            <w:tcW w:type="dxa" w:w="3175"/>
            <w:vAlign w:val="center"/>
          </w:tcPr>
          <w:p>
            <w:pPr>
              <w:spacing w:after="80" w:before="80" w:line="276" w:lineRule="auto"/>
            </w:pPr>
            <w:r>
              <w:rPr>
                <w:sz w:val="18"/>
              </w:rPr>
              <w:t>识别结果需用户确认，外部接口可用性取决于配置</w:t>
            </w:r>
          </w:p>
        </w:tc>
      </w:tr>
      <w:tr>
        <w:trPr>
          <w:cantSplit/>
        </w:trPr>
        <w:tc>
          <w:tcPr>
            <w:tcW w:type="dxa" w:w="3175"/>
            <w:vAlign w:val="center"/>
          </w:tcPr>
          <w:p>
            <w:pPr>
              <w:spacing w:after="80" w:before="80" w:line="276" w:lineRule="auto"/>
            </w:pPr>
            <w:r>
              <w:rPr>
                <w:sz w:val="18"/>
              </w:rPr>
              <w:t>清单准备</w:t>
            </w:r>
          </w:p>
        </w:tc>
        <w:tc>
          <w:tcPr>
            <w:tcW w:type="dxa" w:w="3175"/>
            <w:vAlign w:val="center"/>
          </w:tcPr>
          <w:p>
            <w:pPr>
              <w:spacing w:after="80" w:before="80" w:line="276" w:lineRule="auto"/>
            </w:pPr>
            <w:r>
              <w:rPr>
                <w:sz w:val="18"/>
              </w:rPr>
              <w:t>个人与公共清单、装备关联等代码</w:t>
            </w:r>
          </w:p>
        </w:tc>
        <w:tc>
          <w:tcPr>
            <w:tcW w:type="dxa" w:w="3175"/>
            <w:vAlign w:val="center"/>
          </w:tcPr>
          <w:p>
            <w:pPr>
              <w:spacing w:after="80" w:before="80" w:line="276" w:lineRule="auto"/>
            </w:pPr>
            <w:r>
              <w:rPr>
                <w:sz w:val="18"/>
              </w:rPr>
              <w:t>不将尚未开发的沉浸式“装包模式”列为现有能力</w:t>
            </w:r>
          </w:p>
        </w:tc>
      </w:tr>
      <w:tr>
        <w:trPr>
          <w:cantSplit/>
        </w:trPr>
        <w:tc>
          <w:tcPr>
            <w:tcW w:type="dxa" w:w="3175"/>
            <w:vAlign w:val="center"/>
          </w:tcPr>
          <w:p>
            <w:pPr>
              <w:spacing w:after="80" w:before="80" w:line="276" w:lineRule="auto"/>
            </w:pPr>
            <w:r>
              <w:rPr>
                <w:sz w:val="18"/>
              </w:rPr>
              <w:t>同行与分享</w:t>
            </w:r>
          </w:p>
        </w:tc>
        <w:tc>
          <w:tcPr>
            <w:tcW w:type="dxa" w:w="3175"/>
            <w:vAlign w:val="center"/>
          </w:tcPr>
          <w:p>
            <w:pPr>
              <w:spacing w:after="80" w:before="80" w:line="276" w:lineRule="auto"/>
            </w:pPr>
            <w:r>
              <w:rPr>
                <w:sz w:val="18"/>
              </w:rPr>
              <w:t>邀请加入、口令、Web 访客浏览和媒体分享入口</w:t>
            </w:r>
          </w:p>
        </w:tc>
        <w:tc>
          <w:tcPr>
            <w:tcW w:type="dxa" w:w="3175"/>
            <w:vAlign w:val="center"/>
          </w:tcPr>
          <w:p>
            <w:pPr>
              <w:spacing w:after="80" w:before="80" w:line="276" w:lineRule="auto"/>
            </w:pPr>
            <w:r>
              <w:rPr>
                <w:sz w:val="18"/>
              </w:rPr>
              <w:t>分享权限和媒体访问需在生产环境核实</w:t>
            </w:r>
          </w:p>
        </w:tc>
      </w:tr>
      <w:tr>
        <w:trPr>
          <w:cantSplit/>
        </w:trPr>
        <w:tc>
          <w:tcPr>
            <w:tcW w:type="dxa" w:w="3175"/>
            <w:vAlign w:val="center"/>
          </w:tcPr>
          <w:p>
            <w:pPr>
              <w:spacing w:after="80" w:before="80" w:line="276" w:lineRule="auto"/>
            </w:pPr>
            <w:r>
              <w:rPr>
                <w:sz w:val="18"/>
              </w:rPr>
              <w:t>路线交流</w:t>
            </w:r>
          </w:p>
        </w:tc>
        <w:tc>
          <w:tcPr>
            <w:tcW w:type="dxa" w:w="3175"/>
            <w:vAlign w:val="center"/>
          </w:tcPr>
          <w:p>
            <w:pPr>
              <w:spacing w:after="80" w:before="80" w:line="276" w:lineRule="auto"/>
            </w:pPr>
            <w:r>
              <w:rPr>
                <w:sz w:val="18"/>
              </w:rPr>
              <w:t>评论、回复、点赞、举报及管理处理机制</w:t>
            </w:r>
          </w:p>
        </w:tc>
        <w:tc>
          <w:tcPr>
            <w:tcW w:type="dxa" w:w="3175"/>
            <w:vAlign w:val="center"/>
          </w:tcPr>
          <w:p>
            <w:pPr>
              <w:spacing w:after="80" w:before="80" w:line="276" w:lineRule="auto"/>
            </w:pPr>
            <w:r>
              <w:rPr>
                <w:sz w:val="18"/>
              </w:rPr>
              <w:t>样例内容、测试账号不计为真实社区规模</w:t>
            </w:r>
          </w:p>
        </w:tc>
      </w:tr>
      <w:tr>
        <w:trPr>
          <w:cantSplit/>
        </w:trPr>
        <w:tc>
          <w:tcPr>
            <w:tcW w:type="dxa" w:w="3175"/>
            <w:vAlign w:val="center"/>
          </w:tcPr>
          <w:p>
            <w:pPr>
              <w:spacing w:after="80" w:before="80" w:line="276" w:lineRule="auto"/>
            </w:pPr>
            <w:r>
              <w:rPr>
                <w:sz w:val="18"/>
              </w:rPr>
              <w:t>弱网使用</w:t>
            </w:r>
          </w:p>
        </w:tc>
        <w:tc>
          <w:tcPr>
            <w:tcW w:type="dxa" w:w="3175"/>
            <w:vAlign w:val="center"/>
          </w:tcPr>
          <w:p>
            <w:pPr>
              <w:spacing w:after="80" w:before="80" w:line="276" w:lineRule="auto"/>
            </w:pPr>
            <w:r>
              <w:rPr>
                <w:sz w:val="18"/>
              </w:rPr>
              <w:t>核心个人数据的离线缓存和失败保留机制</w:t>
            </w:r>
          </w:p>
        </w:tc>
        <w:tc>
          <w:tcPr>
            <w:tcW w:type="dxa" w:w="3175"/>
            <w:vAlign w:val="center"/>
          </w:tcPr>
          <w:p>
            <w:pPr>
              <w:spacing w:after="80" w:before="80" w:line="276" w:lineRule="auto"/>
            </w:pPr>
            <w:r>
              <w:rPr>
                <w:sz w:val="18"/>
              </w:rPr>
              <w:t>不等于离线地图，也不等于全部功能离线可用</w:t>
            </w:r>
          </w:p>
        </w:tc>
      </w:tr>
      <w:tr>
        <w:trPr>
          <w:cantSplit/>
        </w:trPr>
        <w:tc>
          <w:tcPr>
            <w:tcW w:type="dxa" w:w="3175"/>
            <w:vAlign w:val="center"/>
          </w:tcPr>
          <w:p>
            <w:pPr>
              <w:spacing w:after="80" w:before="80" w:line="276" w:lineRule="auto"/>
            </w:pPr>
            <w:r>
              <w:rPr>
                <w:sz w:val="18"/>
              </w:rPr>
              <w:t>智能辅助</w:t>
            </w:r>
          </w:p>
        </w:tc>
        <w:tc>
          <w:tcPr>
            <w:tcW w:type="dxa" w:w="3175"/>
            <w:vAlign w:val="center"/>
          </w:tcPr>
          <w:p>
            <w:pPr>
              <w:spacing w:after="80" w:before="80" w:line="276" w:lineRule="auto"/>
            </w:pPr>
            <w:r>
              <w:rPr>
                <w:sz w:val="18"/>
              </w:rPr>
              <w:t>对话理解、装备识别与整理、官方方案相关入口</w:t>
            </w:r>
          </w:p>
        </w:tc>
        <w:tc>
          <w:tcPr>
            <w:tcW w:type="dxa" w:w="3175"/>
            <w:vAlign w:val="center"/>
          </w:tcPr>
          <w:p>
            <w:pPr>
              <w:spacing w:after="80" w:before="80" w:line="276" w:lineRule="auto"/>
            </w:pPr>
            <w:r>
              <w:rPr>
                <w:sz w:val="18"/>
              </w:rPr>
              <w:t>不承诺任意路线自动生成可靠方案或实时购票</w:t>
            </w:r>
          </w:p>
        </w:tc>
      </w:tr>
      <w:tr>
        <w:trPr>
          <w:cantSplit/>
        </w:trPr>
        <w:tc>
          <w:tcPr>
            <w:tcW w:type="dxa" w:w="3175"/>
            <w:vAlign w:val="center"/>
          </w:tcPr>
          <w:p>
            <w:pPr>
              <w:spacing w:after="80" w:before="80" w:line="276" w:lineRule="auto"/>
            </w:pPr>
            <w:r>
              <w:rPr>
                <w:sz w:val="18"/>
              </w:rPr>
              <w:t>会员与资源</w:t>
            </w:r>
          </w:p>
        </w:tc>
        <w:tc>
          <w:tcPr>
            <w:tcW w:type="dxa" w:w="3175"/>
            <w:vAlign w:val="center"/>
          </w:tcPr>
          <w:p>
            <w:pPr>
              <w:spacing w:after="80" w:before="80" w:line="276" w:lineRule="auto"/>
            </w:pPr>
            <w:r>
              <w:rPr>
                <w:sz w:val="18"/>
              </w:rPr>
              <w:t>免费／会员权益、额度、资源计量和购买适配预留</w:t>
            </w:r>
          </w:p>
        </w:tc>
        <w:tc>
          <w:tcPr>
            <w:tcW w:type="dxa" w:w="3175"/>
            <w:vAlign w:val="center"/>
          </w:tcPr>
          <w:p>
            <w:pPr>
              <w:spacing w:after="80" w:before="80" w:line="276" w:lineRule="auto"/>
            </w:pPr>
            <w:r>
              <w:rPr>
                <w:sz w:val="18"/>
              </w:rPr>
              <w:t>当前购买关闭，尚不能作为已验证收入</w:t>
            </w:r>
          </w:p>
        </w:tc>
      </w:tr>
      <w:tr>
        <w:trPr>
          <w:cantSplit/>
        </w:trPr>
        <w:tc>
          <w:tcPr>
            <w:tcW w:type="dxa" w:w="3175"/>
            <w:vAlign w:val="center"/>
          </w:tcPr>
          <w:p>
            <w:pPr>
              <w:spacing w:after="80" w:before="80" w:line="276" w:lineRule="auto"/>
            </w:pPr>
            <w:r>
              <w:rPr>
                <w:sz w:val="18"/>
              </w:rPr>
              <w:t>运营后台</w:t>
            </w:r>
          </w:p>
        </w:tc>
        <w:tc>
          <w:tcPr>
            <w:tcW w:type="dxa" w:w="3175"/>
            <w:vAlign w:val="center"/>
          </w:tcPr>
          <w:p>
            <w:pPr>
              <w:spacing w:after="80" w:before="80" w:line="276" w:lineRule="auto"/>
            </w:pPr>
            <w:r>
              <w:rPr>
                <w:sz w:val="18"/>
              </w:rPr>
              <w:t>独立后台、部分真实接口和内容管理基础</w:t>
            </w:r>
          </w:p>
        </w:tc>
        <w:tc>
          <w:tcPr>
            <w:tcW w:type="dxa" w:w="3175"/>
            <w:vAlign w:val="center"/>
          </w:tcPr>
          <w:p>
            <w:pPr>
              <w:spacing w:after="80" w:before="80" w:line="276" w:lineRule="auto"/>
            </w:pPr>
            <w:r>
              <w:rPr>
                <w:sz w:val="18"/>
              </w:rPr>
              <w:t>多个模块仍是演示骨架，需逐模块验收</w:t>
            </w:r>
          </w:p>
        </w:tc>
      </w:tr>
    </w:tbl>
    <w:p>
      <w:pPr>
        <w:spacing w:after="0"/>
      </w:pPr>
    </w:p>
    <w:p>
      <w:pPr>
        <w:pStyle w:val="Heading2"/>
      </w:pPr>
      <w:r>
        <w:t>3.3 当前最值得演示的闭环</w:t>
      </w:r>
    </w:p>
    <w:p>
      <w:r>
        <w:rPr>
          <w:b w:val="0"/>
        </w:rPr>
        <w:t>演示应选择一条已核实且已发布方案的路线，以实际运行版本完成：打开攻略、创建旅程、查看带入的每日行程、调整日期、加入装备、查看重量统计并展示分享入口。</w:t>
      </w:r>
    </w:p>
    <w:p>
      <w:r>
        <w:rPr>
          <w:b w:val="0"/>
        </w:rPr>
        <w:t>官方方案创建旅程当前不自动带入装备清单，也不包含用户出发城市到目的地的实时大交通预订。装备由用户后续选择和整理。这样的范围可以让用户清楚知道保存了什么，也便于评委现场复查。</w:t>
      </w:r>
    </w:p>
    <w:p>
      <w:r>
        <w:rPr>
          <w:b w:val="0"/>
        </w:rPr>
        <w:t>若演示环境尚无合适的已发布官方方案，应先补齐并核验样板内容；使用演示数据时明确标注。项目截图、演示记录和已上线版本应作为独立证据提交。</w:t>
      </w:r>
    </w:p>
    <w:p>
      <w:pPr>
        <w:pStyle w:val="Heading2"/>
      </w:pPr>
      <w:r>
        <w:t>3.4 技术可行性</w:t>
      </w:r>
    </w:p>
    <w:p>
      <w:r>
        <w:rPr>
          <w:b w:val="0"/>
        </w:rPr>
        <w:t>移动端采用 Expo、React Native 和 TypeScript，已形成 iOS／Android 共用的业务代码基础；浏览器访客页服务于轻量分享参与。后端采用自托管 Supabase，提供认证、数据库、文件存储和业务接口，运营后台为独立应用。</w:t>
      </w:r>
    </w:p>
    <w:p>
      <w:r>
        <w:rPr>
          <w:b w:val="0"/>
        </w:rPr>
        <w:t>数据库权限、版本记录、原子写入、幂等处理及资源配额为数据一致性与成本控制提供基础。核心数据通过本地缓存保留上一次成功状态，减少启动和弱网场景对实时请求的依赖。</w:t>
      </w:r>
    </w:p>
    <w:p>
      <w:r>
        <w:rPr>
          <w:b w:val="0"/>
        </w:rPr>
        <w:t>现阶段仍需完成真实设备体验、生产权限、备份恢复、异常文件处理、供应商可用性及发布合规核验。这些是下一阶段投入事项，不作为已验收成果。</w:t>
      </w:r>
    </w:p>
    <w:p>
      <w:pPr>
        <w:pStyle w:val="Heading1"/>
      </w:pPr>
      <w:r>
        <w:t>四、创新与竞争策略</w:t>
      </w:r>
    </w:p>
    <w:p>
      <w:pPr>
        <w:pStyle w:val="Heading2"/>
      </w:pPr>
      <w:r>
        <w:t>4.1 从“看攻略”走到“准备出发”</w:t>
      </w:r>
    </w:p>
    <w:p>
      <w:r>
        <w:rPr>
          <w:b w:val="0"/>
        </w:rPr>
        <w:t>开爬的产品创新在于把内容转成可使用的数据：攻略对应具体路线，逐日内容进入旅程，个人装备关联出行清单，同伴围绕同一旅程参与准备。一次准备结束后，装备和旅程仍可继续使用。</w:t>
      </w:r>
    </w:p>
    <w:p>
      <w:r>
        <w:rPr>
          <w:b w:val="0"/>
        </w:rPr>
        <w:t>用户因此获得的核心价值是减少信息搬运和重复确认。早期价值验证应围绕准备时间、遗漏与重复确认次数、复用率开展，不预先宣称已实现特定效率提升。</w:t>
      </w:r>
    </w:p>
    <w:p>
      <w:pPr>
        <w:pStyle w:val="Heading2"/>
      </w:pPr>
      <w:r>
        <w:t>4.2 AI 与可靠内容分工</w:t>
      </w:r>
    </w:p>
    <w:p>
      <w:r>
        <w:rPr>
          <w:b w:val="0"/>
        </w:rPr>
        <w:t>户外规划中的营地、水源、通行限制和撤退点具有时效性与风险。项目将官方方案的内容设计与核实交由人负责，程序负责确定性组装，AI 承担适合自动化的理解、识别与草稿整理。</w:t>
      </w:r>
    </w:p>
    <w:p>
      <w:r>
        <w:rPr>
          <w:b w:val="0"/>
        </w:rPr>
        <w:t>“官方方案”指开爬平台审核发布的内容，不代表政府认证或绝对安全保证。资料应标明核实日期与版本；存在信息缺口或争议时不补造事实。用户评论可以提供更新线索，但不会自动变成可靠的安全结论。</w:t>
      </w:r>
    </w:p>
    <w:p>
      <w:pPr>
        <w:pStyle w:val="Heading2"/>
      </w:pPr>
      <w:r>
        <w:t>4.3 装备数据形成长期使用理由</w:t>
      </w:r>
    </w:p>
    <w:p>
      <w:r>
        <w:rPr>
          <w:b w:val="0"/>
        </w:rPr>
        <w:t>路线探索可能是阶段性行为，装备库则可以跨出行复用。用户记录自有装备的重量、图片、分类和套装后，可以减少反复输入，逐步形成自己的准备习惯。</w:t>
      </w:r>
    </w:p>
    <w:p>
      <w:r>
        <w:rPr>
          <w:b w:val="0"/>
        </w:rPr>
        <w:t>个人历史与清单复用有望提升留存，但迁移成本不能作为唯一壁垒。项目需要持续提供便捷编辑、清晰统计与可理解的数据使用方式，避免依靠限制用户数据制造黏性。</w:t>
      </w:r>
    </w:p>
    <w:p>
      <w:pPr>
        <w:pStyle w:val="Heading2"/>
      </w:pPr>
      <w:r>
        <w:t>4.4 与替代方案的关系</w:t>
      </w:r>
    </w:p>
    <w:p>
      <w:r>
        <w:rPr>
          <w:b w:val="0"/>
        </w:rPr>
        <w:t>以下比较针对产品类型和典型任务，不代表对具体品牌全部版本的实测结论。</w:t>
      </w:r>
    </w:p>
    <w:tbl>
      <w:tblPr>
        <w:tblStyle w:val="LightShading-Accent1"/>
        <w:tblW w:type="auto" w:w="0"/>
        <w:jc w:val="center"/>
        <w:tblLook w:firstColumn="1" w:firstRow="1" w:lastColumn="0" w:lastRow="0" w:noHBand="0" w:noVBand="1" w:val="04A0"/>
      </w:tblPr>
      <w:tblGrid>
        <w:gridCol w:w="2381"/>
        <w:gridCol w:w="2381"/>
        <w:gridCol w:w="2381"/>
        <w:gridCol w:w="2381"/>
      </w:tblGrid>
      <w:tr>
        <w:trPr>
          <w:cantSplit/>
          <w:tblHeader/>
        </w:trPr>
        <w:tc>
          <w:tcPr>
            <w:tcW w:type="dxa" w:w="2381"/>
            <w:vAlign w:val="center"/>
            <w:shd w:fill="214D43"/>
          </w:tcPr>
          <w:p>
            <w:pPr>
              <w:spacing w:after="80" w:before="80" w:line="276" w:lineRule="auto"/>
            </w:pPr>
            <w:r>
              <w:rPr>
                <w:b/>
                <w:color w:val="FFFFFF"/>
                <w:sz w:val="18"/>
              </w:rPr>
              <w:t>替代方案</w:t>
            </w:r>
          </w:p>
        </w:tc>
        <w:tc>
          <w:tcPr>
            <w:tcW w:type="dxa" w:w="2381"/>
            <w:vAlign w:val="center"/>
            <w:shd w:fill="214D43"/>
          </w:tcPr>
          <w:p>
            <w:pPr>
              <w:spacing w:after="80" w:before="80" w:line="276" w:lineRule="auto"/>
            </w:pPr>
            <w:r>
              <w:rPr>
                <w:b/>
                <w:color w:val="FFFFFF"/>
                <w:sz w:val="18"/>
              </w:rPr>
              <w:t>通常更擅长的任务</w:t>
            </w:r>
          </w:p>
        </w:tc>
        <w:tc>
          <w:tcPr>
            <w:tcW w:type="dxa" w:w="2381"/>
            <w:vAlign w:val="center"/>
            <w:shd w:fill="214D43"/>
          </w:tcPr>
          <w:p>
            <w:pPr>
              <w:spacing w:after="80" w:before="80" w:line="276" w:lineRule="auto"/>
            </w:pPr>
            <w:r>
              <w:rPr>
                <w:b/>
                <w:color w:val="FFFFFF"/>
                <w:sz w:val="18"/>
              </w:rPr>
              <w:t>用户仍需自行完成的环节</w:t>
            </w:r>
          </w:p>
        </w:tc>
        <w:tc>
          <w:tcPr>
            <w:tcW w:type="dxa" w:w="2381"/>
            <w:vAlign w:val="center"/>
            <w:shd w:fill="214D43"/>
          </w:tcPr>
          <w:p>
            <w:pPr>
              <w:spacing w:after="80" w:before="80" w:line="276" w:lineRule="auto"/>
            </w:pPr>
            <w:r>
              <w:rPr>
                <w:b/>
                <w:color w:val="FFFFFF"/>
                <w:sz w:val="18"/>
              </w:rPr>
              <w:t>开爬的切入位置</w:t>
            </w:r>
          </w:p>
        </w:tc>
      </w:tr>
      <w:tr>
        <w:trPr>
          <w:cantSplit/>
        </w:trPr>
        <w:tc>
          <w:tcPr>
            <w:tcW w:type="dxa" w:w="2381"/>
            <w:vAlign w:val="center"/>
          </w:tcPr>
          <w:p>
            <w:pPr>
              <w:spacing w:after="80" w:before="80" w:line="276" w:lineRule="auto"/>
            </w:pPr>
            <w:r>
              <w:rPr>
                <w:sz w:val="18"/>
              </w:rPr>
              <w:t>户外轨迹类工具</w:t>
            </w:r>
          </w:p>
        </w:tc>
        <w:tc>
          <w:tcPr>
            <w:tcW w:type="dxa" w:w="2381"/>
            <w:vAlign w:val="center"/>
          </w:tcPr>
          <w:p>
            <w:pPr>
              <w:spacing w:after="80" w:before="80" w:line="276" w:lineRule="auto"/>
            </w:pPr>
            <w:r>
              <w:rPr>
                <w:sz w:val="18"/>
              </w:rPr>
              <w:t>轨迹检索、地图和运动记录</w:t>
            </w:r>
          </w:p>
        </w:tc>
        <w:tc>
          <w:tcPr>
            <w:tcW w:type="dxa" w:w="2381"/>
            <w:vAlign w:val="center"/>
          </w:tcPr>
          <w:p>
            <w:pPr>
              <w:spacing w:after="80" w:before="80" w:line="276" w:lineRule="auto"/>
            </w:pPr>
            <w:r>
              <w:rPr>
                <w:sz w:val="18"/>
              </w:rPr>
              <w:t>围绕自身装备与同伴组织准备</w:t>
            </w:r>
          </w:p>
        </w:tc>
        <w:tc>
          <w:tcPr>
            <w:tcW w:type="dxa" w:w="2381"/>
            <w:vAlign w:val="center"/>
          </w:tcPr>
          <w:p>
            <w:pPr>
              <w:spacing w:after="80" w:before="80" w:line="276" w:lineRule="auto"/>
            </w:pPr>
            <w:r>
              <w:rPr>
                <w:sz w:val="18"/>
              </w:rPr>
              <w:t>与轨迹能力互补，聚焦准备和协作</w:t>
            </w:r>
          </w:p>
        </w:tc>
      </w:tr>
      <w:tr>
        <w:trPr>
          <w:cantSplit/>
        </w:trPr>
        <w:tc>
          <w:tcPr>
            <w:tcW w:type="dxa" w:w="2381"/>
            <w:vAlign w:val="center"/>
          </w:tcPr>
          <w:p>
            <w:pPr>
              <w:spacing w:after="80" w:before="80" w:line="276" w:lineRule="auto"/>
            </w:pPr>
            <w:r>
              <w:rPr>
                <w:sz w:val="18"/>
              </w:rPr>
              <w:t>内容社区</w:t>
            </w:r>
          </w:p>
        </w:tc>
        <w:tc>
          <w:tcPr>
            <w:tcW w:type="dxa" w:w="2381"/>
            <w:vAlign w:val="center"/>
          </w:tcPr>
          <w:p>
            <w:pPr>
              <w:spacing w:after="80" w:before="80" w:line="276" w:lineRule="auto"/>
            </w:pPr>
            <w:r>
              <w:rPr>
                <w:sz w:val="18"/>
              </w:rPr>
              <w:t>灵感、经验和图文视频传播</w:t>
            </w:r>
          </w:p>
        </w:tc>
        <w:tc>
          <w:tcPr>
            <w:tcW w:type="dxa" w:w="2381"/>
            <w:vAlign w:val="center"/>
          </w:tcPr>
          <w:p>
            <w:pPr>
              <w:spacing w:after="80" w:before="80" w:line="276" w:lineRule="auto"/>
            </w:pPr>
            <w:r>
              <w:rPr>
                <w:sz w:val="18"/>
              </w:rPr>
              <w:t>将内容整理成自己的每日计划</w:t>
            </w:r>
          </w:p>
        </w:tc>
        <w:tc>
          <w:tcPr>
            <w:tcW w:type="dxa" w:w="2381"/>
            <w:vAlign w:val="center"/>
          </w:tcPr>
          <w:p>
            <w:pPr>
              <w:spacing w:after="80" w:before="80" w:line="276" w:lineRule="auto"/>
            </w:pPr>
            <w:r>
              <w:rPr>
                <w:sz w:val="18"/>
              </w:rPr>
              <w:t>承接已有出行意向</w:t>
            </w:r>
          </w:p>
        </w:tc>
      </w:tr>
      <w:tr>
        <w:trPr>
          <w:cantSplit/>
        </w:trPr>
        <w:tc>
          <w:tcPr>
            <w:tcW w:type="dxa" w:w="2381"/>
            <w:vAlign w:val="center"/>
          </w:tcPr>
          <w:p>
            <w:pPr>
              <w:spacing w:after="80" w:before="80" w:line="276" w:lineRule="auto"/>
            </w:pPr>
            <w:r>
              <w:rPr>
                <w:sz w:val="18"/>
              </w:rPr>
              <w:t>通用 AI 助手</w:t>
            </w:r>
          </w:p>
        </w:tc>
        <w:tc>
          <w:tcPr>
            <w:tcW w:type="dxa" w:w="2381"/>
            <w:vAlign w:val="center"/>
          </w:tcPr>
          <w:p>
            <w:pPr>
              <w:spacing w:after="80" w:before="80" w:line="276" w:lineRule="auto"/>
            </w:pPr>
            <w:r>
              <w:rPr>
                <w:sz w:val="18"/>
              </w:rPr>
              <w:t>交流、解释和草稿生成</w:t>
            </w:r>
          </w:p>
        </w:tc>
        <w:tc>
          <w:tcPr>
            <w:tcW w:type="dxa" w:w="2381"/>
            <w:vAlign w:val="center"/>
          </w:tcPr>
          <w:p>
            <w:pPr>
              <w:spacing w:after="80" w:before="80" w:line="276" w:lineRule="auto"/>
            </w:pPr>
            <w:r>
              <w:rPr>
                <w:sz w:val="18"/>
              </w:rPr>
              <w:t>核实信息并保存到实际业务对象</w:t>
            </w:r>
          </w:p>
        </w:tc>
        <w:tc>
          <w:tcPr>
            <w:tcW w:type="dxa" w:w="2381"/>
            <w:vAlign w:val="center"/>
          </w:tcPr>
          <w:p>
            <w:pPr>
              <w:spacing w:after="80" w:before="80" w:line="276" w:lineRule="auto"/>
            </w:pPr>
            <w:r>
              <w:rPr>
                <w:sz w:val="18"/>
              </w:rPr>
              <w:t>将审核内容与旅程、装备数据结合</w:t>
            </w:r>
          </w:p>
        </w:tc>
      </w:tr>
      <w:tr>
        <w:trPr>
          <w:cantSplit/>
        </w:trPr>
        <w:tc>
          <w:tcPr>
            <w:tcW w:type="dxa" w:w="2381"/>
            <w:vAlign w:val="center"/>
          </w:tcPr>
          <w:p>
            <w:pPr>
              <w:spacing w:after="80" w:before="80" w:line="276" w:lineRule="auto"/>
            </w:pPr>
            <w:r>
              <w:rPr>
                <w:sz w:val="18"/>
              </w:rPr>
              <w:t>群聊与表格</w:t>
            </w:r>
          </w:p>
        </w:tc>
        <w:tc>
          <w:tcPr>
            <w:tcW w:type="dxa" w:w="2381"/>
            <w:vAlign w:val="center"/>
          </w:tcPr>
          <w:p>
            <w:pPr>
              <w:spacing w:after="80" w:before="80" w:line="276" w:lineRule="auto"/>
            </w:pPr>
            <w:r>
              <w:rPr>
                <w:sz w:val="18"/>
              </w:rPr>
              <w:t>灵活沟通和自由记录</w:t>
            </w:r>
          </w:p>
        </w:tc>
        <w:tc>
          <w:tcPr>
            <w:tcW w:type="dxa" w:w="2381"/>
            <w:vAlign w:val="center"/>
          </w:tcPr>
          <w:p>
            <w:pPr>
              <w:spacing w:after="80" w:before="80" w:line="276" w:lineRule="auto"/>
            </w:pPr>
            <w:r>
              <w:rPr>
                <w:sz w:val="18"/>
              </w:rPr>
              <w:t>维护版本、重复录入、逐人确认</w:t>
            </w:r>
          </w:p>
        </w:tc>
        <w:tc>
          <w:tcPr>
            <w:tcW w:type="dxa" w:w="2381"/>
            <w:vAlign w:val="center"/>
          </w:tcPr>
          <w:p>
            <w:pPr>
              <w:spacing w:after="80" w:before="80" w:line="276" w:lineRule="auto"/>
            </w:pPr>
            <w:r>
              <w:rPr>
                <w:sz w:val="18"/>
              </w:rPr>
              <w:t>为明确户外任务提供结构化流程</w:t>
            </w:r>
          </w:p>
        </w:tc>
      </w:tr>
    </w:tbl>
    <w:p>
      <w:pPr>
        <w:spacing w:after="0"/>
      </w:pPr>
    </w:p>
    <w:p>
      <w:r>
        <w:rPr>
          <w:b w:val="0"/>
        </w:rPr>
        <w:t>项目不以地图能力、模型参数或社区规模全面超过成熟平台为目标。可积累的优势应来自持续维护的内容、用户真实工作流、装备复用体验和本地运营关系。</w:t>
      </w:r>
    </w:p>
    <w:p>
      <w:pPr>
        <w:pStyle w:val="Heading1"/>
      </w:pPr>
      <w:r>
        <w:t>五、商业模式与收入验证</w:t>
      </w:r>
    </w:p>
    <w:p>
      <w:pPr>
        <w:pStyle w:val="Heading2"/>
      </w:pPr>
      <w:r>
        <w:t>5.1 免费基础功能与个人会员</w:t>
      </w:r>
    </w:p>
    <w:p>
      <w:r>
        <w:rPr>
          <w:b w:val="0"/>
        </w:rPr>
        <w:t>免费版提供正常出行所需的基础路线、旅程、装备、清单、同行与分享能力。会员提供更高的智能服务、记录和云存储额度，为使用频率高、资料积累多的用户创造价值。</w:t>
      </w:r>
    </w:p>
    <w:p>
      <w:r>
        <w:rPr>
          <w:b w:val="0"/>
        </w:rPr>
        <w:t>当前产品已规划月度、年度和永久三种有效期，购买入口未开放。首轮拟测试月度 15～19 元、年度 99～129 元的价格区间；这不是已发布价格。永久方案需单独验证长期存储及服务负担，暂不纳入收入模型。</w:t>
      </w:r>
    </w:p>
    <w:p>
      <w:r>
        <w:rPr>
          <w:b w:val="0"/>
        </w:rPr>
        <w:t>财务测算采用每位付费有效用户每年 99 元净收入。该净额口径需覆盖折扣、退款、渠道服务费及适用税费的影响，正式标价与结算模型应在渠道规则明确后重算。</w:t>
      </w:r>
    </w:p>
    <w:p>
      <w:r>
        <w:rPr>
          <w:b w:val="0"/>
        </w:rPr>
        <w:t>转化触发点应来自用户已获得的价值，如频繁使用装备识别、长期积累资料和多次出行复用。用户到期后保留基础查看、导出与清理能力，不通过删除已有资料迫使购买。</w:t>
      </w:r>
    </w:p>
    <w:p>
      <w:pPr>
        <w:pStyle w:val="Heading2"/>
      </w:pPr>
      <w:r>
        <w:t>5.2 俱乐部协作服务</w:t>
      </w:r>
    </w:p>
    <w:p>
      <w:r>
        <w:rPr>
          <w:b w:val="0"/>
        </w:rPr>
        <w:t>拟面向小型俱乐部验证活动模板、重复开团准备、工作人员分工和出发资料分享。首批采用人工协助导入与共同设计，以少量付费试点验证节省了多少工作和是否愿意续费。</w:t>
      </w:r>
    </w:p>
    <w:p>
      <w:r>
        <w:rPr>
          <w:b w:val="0"/>
        </w:rPr>
        <w:t>试点单家年净收入暂按 6,000 元测算，成熟服务按 9,000～12,000 元测算。机构权限、数据隔离、合同、售后和导出机制完成前，不将该服务视为现有标准产品；实际收费根据交付范围确定。</w:t>
      </w:r>
    </w:p>
    <w:p>
      <w:r>
        <w:rPr>
          <w:b w:val="0"/>
        </w:rPr>
        <w:t>如机构更愿意使用已有管理工具，则保留个人工具路线，停止为少量客户进行高成本定制。</w:t>
      </w:r>
    </w:p>
    <w:p>
      <w:pPr>
        <w:pStyle w:val="Heading2"/>
      </w:pPr>
      <w:r>
        <w:t>5.3 本地服务合作</w:t>
      </w:r>
    </w:p>
    <w:p>
      <w:r>
        <w:rPr>
          <w:b w:val="0"/>
        </w:rPr>
        <w:t>在路线内容与用户规模形成后，拟与符合要求的民宿、营地、装备租赁及接驳服务方开展合作。初期可采用明确标识的服务信息及外部咨询入口；如开展可归因的结算合作，再按有效交易收取服务费。</w:t>
      </w:r>
    </w:p>
    <w:p>
      <w:r>
        <w:rPr>
          <w:b w:val="0"/>
        </w:rPr>
        <w:t>测算暂按交易额的 5% 确认平台净服务收入，交易总额不作为平台收入。交易归因、退款、投诉和供应商履约责任未建立前，不将其纳入短期核心收入。</w:t>
      </w:r>
    </w:p>
    <w:p>
      <w:r>
        <w:rPr>
          <w:b w:val="0"/>
        </w:rPr>
        <w:t>平台初期提供软件与信息服务。涉及旅游产品销售、收费带队、保险销售等业务时，应先核实适用资质，与合格主体明确分工和合同责任。未完成条件的业务不开展。</w:t>
      </w:r>
    </w:p>
    <w:p>
      <w:pPr>
        <w:pStyle w:val="Heading2"/>
      </w:pPr>
      <w:r>
        <w:t>5.4 商业验证顺序</w:t>
      </w:r>
    </w:p>
    <w:p>
      <w:r>
        <w:rPr>
          <w:b w:val="0"/>
        </w:rPr>
        <w:t>先验证免费用户能完成一次出行准备并再次使用，再开放小范围真实付费测试；随后验证机构的付费试点和续费；最后验证本地服务合作。每条收入线分别核算获客、交付、售后与技术成本。</w:t>
      </w:r>
    </w:p>
    <w:p>
      <w:pPr>
        <w:pStyle w:val="Heading1"/>
      </w:pPr>
      <w:r>
        <w:t>六、南宁落地与市场推广</w:t>
      </w:r>
    </w:p>
    <w:p>
      <w:pPr>
        <w:pStyle w:val="Heading2"/>
      </w:pPr>
      <w:r>
        <w:t>6.1 拟落地方式</w:t>
      </w:r>
    </w:p>
    <w:p>
      <w:r>
        <w:rPr>
          <w:b w:val="0"/>
        </w:rPr>
        <w:t>拟以南宁作为研发协作、内容运营和本地合作的起点。具体主体注册、办公地址、负责人及时间安排须根据实际情况补充。本计划不将落地设想写为已成立公司或已获得政府支持。</w:t>
      </w:r>
    </w:p>
    <w:p>
      <w:r>
        <w:rPr>
          <w:b w:val="0"/>
        </w:rPr>
        <w:t>首轮内容范围拟为南宁及可达周边的 10 条合规开放路线。选择条件包括出行需求明确、可核实资料、可持续更新、强度适中、进出点明确。具体名单须经实地或可靠渠道核验，不为了凑数量收录封闭、禁止进入或风险不适宜的线路。</w:t>
      </w:r>
    </w:p>
    <w:p>
      <w:pPr>
        <w:pStyle w:val="Heading2"/>
      </w:pPr>
      <w:r>
        <w:t>6.2 十二个月试点</w:t>
      </w:r>
    </w:p>
    <w:tbl>
      <w:tblPr>
        <w:tblStyle w:val="LightShading-Accent1"/>
        <w:tblW w:type="auto" w:w="0"/>
        <w:jc w:val="center"/>
        <w:tblLook w:firstColumn="1" w:firstRow="1" w:lastColumn="0" w:lastRow="0" w:noHBand="0" w:noVBand="1" w:val="04A0"/>
      </w:tblPr>
      <w:tblGrid>
        <w:gridCol w:w="3175"/>
        <w:gridCol w:w="3175"/>
        <w:gridCol w:w="3175"/>
      </w:tblGrid>
      <w:tr>
        <w:trPr>
          <w:cantSplit/>
          <w:tblHeader/>
        </w:trPr>
        <w:tc>
          <w:tcPr>
            <w:tcW w:type="dxa" w:w="3175"/>
            <w:vAlign w:val="center"/>
            <w:shd w:fill="214D43"/>
          </w:tcPr>
          <w:p>
            <w:pPr>
              <w:spacing w:after="80" w:before="80" w:line="276" w:lineRule="auto"/>
            </w:pPr>
            <w:r>
              <w:rPr>
                <w:b/>
                <w:color w:val="FFFFFF"/>
                <w:sz w:val="18"/>
              </w:rPr>
              <w:t>阶段</w:t>
            </w:r>
          </w:p>
        </w:tc>
        <w:tc>
          <w:tcPr>
            <w:tcW w:type="dxa" w:w="3175"/>
            <w:vAlign w:val="center"/>
            <w:shd w:fill="214D43"/>
          </w:tcPr>
          <w:p>
            <w:pPr>
              <w:spacing w:after="80" w:before="80" w:line="276" w:lineRule="auto"/>
            </w:pPr>
            <w:r>
              <w:rPr>
                <w:b/>
                <w:color w:val="FFFFFF"/>
                <w:sz w:val="18"/>
              </w:rPr>
              <w:t>拟开展工作</w:t>
            </w:r>
          </w:p>
        </w:tc>
        <w:tc>
          <w:tcPr>
            <w:tcW w:type="dxa" w:w="3175"/>
            <w:vAlign w:val="center"/>
            <w:shd w:fill="214D43"/>
          </w:tcPr>
          <w:p>
            <w:pPr>
              <w:spacing w:after="80" w:before="80" w:line="276" w:lineRule="auto"/>
            </w:pPr>
            <w:r>
              <w:rPr>
                <w:b/>
                <w:color w:val="FFFFFF"/>
                <w:sz w:val="18"/>
              </w:rPr>
              <w:t>可验收结果</w:t>
            </w:r>
          </w:p>
        </w:tc>
      </w:tr>
      <w:tr>
        <w:trPr>
          <w:cantSplit/>
        </w:trPr>
        <w:tc>
          <w:tcPr>
            <w:tcW w:type="dxa" w:w="3175"/>
            <w:vAlign w:val="center"/>
          </w:tcPr>
          <w:p>
            <w:pPr>
              <w:spacing w:after="80" w:before="80" w:line="276" w:lineRule="auto"/>
            </w:pPr>
            <w:r>
              <w:rPr>
                <w:sz w:val="18"/>
              </w:rPr>
              <w:t>第 1～3 个月</w:t>
            </w:r>
          </w:p>
        </w:tc>
        <w:tc>
          <w:tcPr>
            <w:tcW w:type="dxa" w:w="3175"/>
            <w:vAlign w:val="center"/>
          </w:tcPr>
          <w:p>
            <w:pPr>
              <w:spacing w:after="80" w:before="80" w:line="276" w:lineRule="auto"/>
            </w:pPr>
            <w:r>
              <w:rPr>
                <w:sz w:val="18"/>
              </w:rPr>
              <w:t>用户访谈、内容标准、首批方案核验、招募小范围体验</w:t>
            </w:r>
          </w:p>
        </w:tc>
        <w:tc>
          <w:tcPr>
            <w:tcW w:type="dxa" w:w="3175"/>
            <w:vAlign w:val="center"/>
          </w:tcPr>
          <w:p>
            <w:pPr>
              <w:spacing w:after="80" w:before="80" w:line="276" w:lineRule="auto"/>
            </w:pPr>
            <w:r>
              <w:rPr>
                <w:sz w:val="18"/>
              </w:rPr>
              <w:t>10 条样板路线、100 名有效试用者、完整问题记录</w:t>
            </w:r>
          </w:p>
        </w:tc>
      </w:tr>
      <w:tr>
        <w:trPr>
          <w:cantSplit/>
        </w:trPr>
        <w:tc>
          <w:tcPr>
            <w:tcW w:type="dxa" w:w="3175"/>
            <w:vAlign w:val="center"/>
          </w:tcPr>
          <w:p>
            <w:pPr>
              <w:spacing w:after="80" w:before="80" w:line="276" w:lineRule="auto"/>
            </w:pPr>
            <w:r>
              <w:rPr>
                <w:sz w:val="18"/>
              </w:rPr>
              <w:t>第 4～6 个月</w:t>
            </w:r>
          </w:p>
        </w:tc>
        <w:tc>
          <w:tcPr>
            <w:tcW w:type="dxa" w:w="3175"/>
            <w:vAlign w:val="center"/>
          </w:tcPr>
          <w:p>
            <w:pPr>
              <w:spacing w:after="80" w:before="80" w:line="276" w:lineRule="auto"/>
            </w:pPr>
            <w:r>
              <w:rPr>
                <w:sz w:val="18"/>
              </w:rPr>
              <w:t>与意向社群共同试用，改善攻略转旅程、装备及分享体验</w:t>
            </w:r>
          </w:p>
        </w:tc>
        <w:tc>
          <w:tcPr>
            <w:tcW w:type="dxa" w:w="3175"/>
            <w:vAlign w:val="center"/>
          </w:tcPr>
          <w:p>
            <w:pPr>
              <w:spacing w:after="80" w:before="80" w:line="276" w:lineRule="auto"/>
            </w:pPr>
            <w:r>
              <w:rPr>
                <w:sz w:val="18"/>
              </w:rPr>
              <w:t>3 个社群试点、30 场真实活动的准备记录</w:t>
            </w:r>
          </w:p>
        </w:tc>
      </w:tr>
      <w:tr>
        <w:trPr>
          <w:cantSplit/>
        </w:trPr>
        <w:tc>
          <w:tcPr>
            <w:tcW w:type="dxa" w:w="3175"/>
            <w:vAlign w:val="center"/>
          </w:tcPr>
          <w:p>
            <w:pPr>
              <w:spacing w:after="80" w:before="80" w:line="276" w:lineRule="auto"/>
            </w:pPr>
            <w:r>
              <w:rPr>
                <w:sz w:val="18"/>
              </w:rPr>
              <w:t>第 7～9 个月</w:t>
            </w:r>
          </w:p>
        </w:tc>
        <w:tc>
          <w:tcPr>
            <w:tcW w:type="dxa" w:w="3175"/>
            <w:vAlign w:val="center"/>
          </w:tcPr>
          <w:p>
            <w:pPr>
              <w:spacing w:after="80" w:before="80" w:line="276" w:lineRule="auto"/>
            </w:pPr>
            <w:r>
              <w:rPr>
                <w:sz w:val="18"/>
              </w:rPr>
              <w:t>扩充内容，测试会员与机构服务的真实购买</w:t>
            </w:r>
          </w:p>
        </w:tc>
        <w:tc>
          <w:tcPr>
            <w:tcW w:type="dxa" w:w="3175"/>
            <w:vAlign w:val="center"/>
          </w:tcPr>
          <w:p>
            <w:pPr>
              <w:spacing w:after="80" w:before="80" w:line="276" w:lineRule="auto"/>
            </w:pPr>
            <w:r>
              <w:rPr>
                <w:sz w:val="18"/>
              </w:rPr>
              <w:t>年内累计至少 3 家付费机构试点，形成成本台账</w:t>
            </w:r>
          </w:p>
        </w:tc>
      </w:tr>
      <w:tr>
        <w:trPr>
          <w:cantSplit/>
        </w:trPr>
        <w:tc>
          <w:tcPr>
            <w:tcW w:type="dxa" w:w="3175"/>
            <w:vAlign w:val="center"/>
          </w:tcPr>
          <w:p>
            <w:pPr>
              <w:spacing w:after="80" w:before="80" w:line="276" w:lineRule="auto"/>
            </w:pPr>
            <w:r>
              <w:rPr>
                <w:sz w:val="18"/>
              </w:rPr>
              <w:t>第 10～12 个月</w:t>
            </w:r>
          </w:p>
        </w:tc>
        <w:tc>
          <w:tcPr>
            <w:tcW w:type="dxa" w:w="3175"/>
            <w:vAlign w:val="center"/>
          </w:tcPr>
          <w:p>
            <w:pPr>
              <w:spacing w:after="80" w:before="80" w:line="276" w:lineRule="auto"/>
            </w:pPr>
            <w:r>
              <w:rPr>
                <w:sz w:val="18"/>
              </w:rPr>
              <w:t>提升复用和续费，评估是否扩展广西目的地</w:t>
            </w:r>
          </w:p>
        </w:tc>
        <w:tc>
          <w:tcPr>
            <w:tcW w:type="dxa" w:w="3175"/>
            <w:vAlign w:val="center"/>
          </w:tcPr>
          <w:p>
            <w:pPr>
              <w:spacing w:after="80" w:before="80" w:line="276" w:lineRule="auto"/>
            </w:pPr>
            <w:r>
              <w:rPr>
                <w:sz w:val="18"/>
              </w:rPr>
              <w:t>样板路线增至 30 条，形成首批付费队列分析</w:t>
            </w:r>
          </w:p>
        </w:tc>
      </w:tr>
    </w:tbl>
    <w:p>
      <w:pPr>
        <w:spacing w:after="0"/>
      </w:pPr>
    </w:p>
    <w:p>
      <w:r>
        <w:rPr>
          <w:b w:val="0"/>
        </w:rPr>
        <w:t>表内均为规划目标。机构数量是年度付费机构目标的阶段子集；活动次数是使用记录，不等同于平台组织或承办线下活动。</w:t>
      </w:r>
    </w:p>
    <w:p>
      <w:pPr>
        <w:pStyle w:val="Heading2"/>
      </w:pPr>
      <w:r>
        <w:t>6.3 获客路径</w:t>
      </w:r>
    </w:p>
    <w:p>
      <w:r>
        <w:rPr>
          <w:b w:val="0"/>
        </w:rPr>
        <w:t>内容端围绕“如何为一次实际出行做好准备”制作可保存的示范攻略和清单。社群端寻找稳定组织出行的核心成员，以一次真实行程为试点，观察其是否主动继续使用。产品端通过旅程分享和同行参与形成自然触达，不把访客浏览量直接计为注册或有效用户。</w:t>
      </w:r>
    </w:p>
    <w:p>
      <w:r>
        <w:rPr>
          <w:b w:val="0"/>
        </w:rPr>
        <w:t>渠道效果以完成首次有效准备和后续复用衡量。前期将增长支出集中在少量可追踪渠道，不大规模采购泛流量。拟接洽的俱乐部、社团、商户和基地均需以真实沟通与协议确认，当前不列为已合作伙伴。</w:t>
      </w:r>
    </w:p>
    <w:p>
      <w:pPr>
        <w:pStyle w:val="Heading2"/>
      </w:pPr>
      <w:r>
        <w:t>6.4 关键指标与退出条件</w:t>
      </w:r>
    </w:p>
    <w:tbl>
      <w:tblPr>
        <w:tblStyle w:val="LightShading-Accent1"/>
        <w:tblW w:type="auto" w:w="0"/>
        <w:jc w:val="center"/>
        <w:tblLook w:firstColumn="1" w:firstRow="1" w:lastColumn="0" w:lastRow="0" w:noHBand="0" w:noVBand="1" w:val="04A0"/>
      </w:tblPr>
      <w:tblGrid>
        <w:gridCol w:w="3175"/>
        <w:gridCol w:w="3175"/>
        <w:gridCol w:w="3175"/>
      </w:tblGrid>
      <w:tr>
        <w:trPr>
          <w:cantSplit/>
          <w:tblHeader/>
        </w:trPr>
        <w:tc>
          <w:tcPr>
            <w:tcW w:type="dxa" w:w="3175"/>
            <w:vAlign w:val="center"/>
            <w:shd w:fill="214D43"/>
          </w:tcPr>
          <w:p>
            <w:pPr>
              <w:spacing w:after="80" w:before="80" w:line="276" w:lineRule="auto"/>
            </w:pPr>
            <w:r>
              <w:rPr>
                <w:b/>
                <w:color w:val="FFFFFF"/>
                <w:sz w:val="18"/>
              </w:rPr>
              <w:t>指标</w:t>
            </w:r>
          </w:p>
        </w:tc>
        <w:tc>
          <w:tcPr>
            <w:tcW w:type="dxa" w:w="3175"/>
            <w:vAlign w:val="center"/>
            <w:shd w:fill="214D43"/>
          </w:tcPr>
          <w:p>
            <w:pPr>
              <w:spacing w:after="80" w:before="80" w:line="276" w:lineRule="auto"/>
            </w:pPr>
            <w:r>
              <w:rPr>
                <w:b/>
                <w:color w:val="FFFFFF"/>
                <w:sz w:val="18"/>
              </w:rPr>
              <w:t>口径</w:t>
            </w:r>
          </w:p>
        </w:tc>
        <w:tc>
          <w:tcPr>
            <w:tcW w:type="dxa" w:w="3175"/>
            <w:vAlign w:val="center"/>
            <w:shd w:fill="214D43"/>
          </w:tcPr>
          <w:p>
            <w:pPr>
              <w:spacing w:after="80" w:before="80" w:line="276" w:lineRule="auto"/>
            </w:pPr>
            <w:r>
              <w:rPr>
                <w:b/>
                <w:color w:val="FFFFFF"/>
                <w:sz w:val="18"/>
              </w:rPr>
              <w:t>首轮目标／决策规则</w:t>
            </w:r>
          </w:p>
        </w:tc>
      </w:tr>
      <w:tr>
        <w:trPr>
          <w:cantSplit/>
        </w:trPr>
        <w:tc>
          <w:tcPr>
            <w:tcW w:type="dxa" w:w="3175"/>
            <w:vAlign w:val="center"/>
          </w:tcPr>
          <w:p>
            <w:pPr>
              <w:spacing w:after="80" w:before="80" w:line="276" w:lineRule="auto"/>
            </w:pPr>
            <w:r>
              <w:rPr>
                <w:sz w:val="18"/>
              </w:rPr>
              <w:t>激活率</w:t>
            </w:r>
          </w:p>
        </w:tc>
        <w:tc>
          <w:tcPr>
            <w:tcW w:type="dxa" w:w="3175"/>
            <w:vAlign w:val="center"/>
          </w:tcPr>
          <w:p>
            <w:pPr>
              <w:spacing w:after="80" w:before="80" w:line="276" w:lineRule="auto"/>
            </w:pPr>
            <w:r>
              <w:rPr>
                <w:sz w:val="18"/>
              </w:rPr>
              <w:t>新注册用户 7 天内创建旅程且完成至少一次清单编辑的比例</w:t>
            </w:r>
          </w:p>
        </w:tc>
        <w:tc>
          <w:tcPr>
            <w:tcW w:type="dxa" w:w="3175"/>
            <w:vAlign w:val="center"/>
          </w:tcPr>
          <w:p>
            <w:pPr>
              <w:spacing w:after="80" w:before="80" w:line="276" w:lineRule="auto"/>
            </w:pPr>
            <w:r>
              <w:rPr>
                <w:sz w:val="18"/>
              </w:rPr>
              <w:t>目标不低于 30%</w:t>
            </w:r>
          </w:p>
        </w:tc>
      </w:tr>
      <w:tr>
        <w:trPr>
          <w:cantSplit/>
        </w:trPr>
        <w:tc>
          <w:tcPr>
            <w:tcW w:type="dxa" w:w="3175"/>
            <w:vAlign w:val="center"/>
          </w:tcPr>
          <w:p>
            <w:pPr>
              <w:spacing w:after="80" w:before="80" w:line="276" w:lineRule="auto"/>
            </w:pPr>
            <w:r>
              <w:rPr>
                <w:sz w:val="18"/>
              </w:rPr>
              <w:t>30 天核心留存</w:t>
            </w:r>
          </w:p>
        </w:tc>
        <w:tc>
          <w:tcPr>
            <w:tcW w:type="dxa" w:w="3175"/>
            <w:vAlign w:val="center"/>
          </w:tcPr>
          <w:p>
            <w:pPr>
              <w:spacing w:after="80" w:before="80" w:line="276" w:lineRule="auto"/>
            </w:pPr>
            <w:r>
              <w:rPr>
                <w:sz w:val="18"/>
              </w:rPr>
              <w:t>激活用户在第 22～30 天再次操作旅程或装备的比例</w:t>
            </w:r>
          </w:p>
        </w:tc>
        <w:tc>
          <w:tcPr>
            <w:tcW w:type="dxa" w:w="3175"/>
            <w:vAlign w:val="center"/>
          </w:tcPr>
          <w:p>
            <w:pPr>
              <w:spacing w:after="80" w:before="80" w:line="276" w:lineRule="auto"/>
            </w:pPr>
            <w:r>
              <w:rPr>
                <w:sz w:val="18"/>
              </w:rPr>
              <w:t>首轮观察目标不低于 20%，同时看季节影响</w:t>
            </w:r>
          </w:p>
        </w:tc>
      </w:tr>
      <w:tr>
        <w:trPr>
          <w:cantSplit/>
        </w:trPr>
        <w:tc>
          <w:tcPr>
            <w:tcW w:type="dxa" w:w="3175"/>
            <w:vAlign w:val="center"/>
          </w:tcPr>
          <w:p>
            <w:pPr>
              <w:spacing w:after="80" w:before="80" w:line="276" w:lineRule="auto"/>
            </w:pPr>
            <w:r>
              <w:rPr>
                <w:sz w:val="18"/>
              </w:rPr>
              <w:t>90 天复用率</w:t>
            </w:r>
          </w:p>
        </w:tc>
        <w:tc>
          <w:tcPr>
            <w:tcW w:type="dxa" w:w="3175"/>
            <w:vAlign w:val="center"/>
          </w:tcPr>
          <w:p>
            <w:pPr>
              <w:spacing w:after="80" w:before="80" w:line="276" w:lineRule="auto"/>
            </w:pPr>
            <w:r>
              <w:rPr>
                <w:sz w:val="18"/>
              </w:rPr>
              <w:t>激活用户 90 天内再次完成有效准备的比例</w:t>
            </w:r>
          </w:p>
        </w:tc>
        <w:tc>
          <w:tcPr>
            <w:tcW w:type="dxa" w:w="3175"/>
            <w:vAlign w:val="center"/>
          </w:tcPr>
          <w:p>
            <w:pPr>
              <w:spacing w:after="80" w:before="80" w:line="276" w:lineRule="auto"/>
            </w:pPr>
            <w:r>
              <w:rPr>
                <w:sz w:val="18"/>
              </w:rPr>
              <w:t>目标不低于 25%</w:t>
            </w:r>
          </w:p>
        </w:tc>
      </w:tr>
      <w:tr>
        <w:trPr>
          <w:cantSplit/>
        </w:trPr>
        <w:tc>
          <w:tcPr>
            <w:tcW w:type="dxa" w:w="3175"/>
            <w:vAlign w:val="center"/>
          </w:tcPr>
          <w:p>
            <w:pPr>
              <w:spacing w:after="80" w:before="80" w:line="276" w:lineRule="auto"/>
            </w:pPr>
            <w:r>
              <w:rPr>
                <w:sz w:val="18"/>
              </w:rPr>
              <w:t>付费转化率</w:t>
            </w:r>
          </w:p>
        </w:tc>
        <w:tc>
          <w:tcPr>
            <w:tcW w:type="dxa" w:w="3175"/>
            <w:vAlign w:val="center"/>
          </w:tcPr>
          <w:p>
            <w:pPr>
              <w:spacing w:after="80" w:before="80" w:line="276" w:lineRule="auto"/>
            </w:pPr>
            <w:r>
              <w:rPr>
                <w:sz w:val="18"/>
              </w:rPr>
              <w:t>同期具备购买资格的激活用户中实际付费比例</w:t>
            </w:r>
          </w:p>
        </w:tc>
        <w:tc>
          <w:tcPr>
            <w:tcW w:type="dxa" w:w="3175"/>
            <w:vAlign w:val="center"/>
          </w:tcPr>
          <w:p>
            <w:pPr>
              <w:spacing w:after="80" w:before="80" w:line="276" w:lineRule="auto"/>
            </w:pPr>
            <w:r>
              <w:rPr>
                <w:sz w:val="18"/>
              </w:rPr>
              <w:t>目标不低于 3%，不以问卷代替</w:t>
            </w:r>
          </w:p>
        </w:tc>
      </w:tr>
      <w:tr>
        <w:trPr>
          <w:cantSplit/>
        </w:trPr>
        <w:tc>
          <w:tcPr>
            <w:tcW w:type="dxa" w:w="3175"/>
            <w:vAlign w:val="center"/>
          </w:tcPr>
          <w:p>
            <w:pPr>
              <w:spacing w:after="80" w:before="80" w:line="276" w:lineRule="auto"/>
            </w:pPr>
            <w:r>
              <w:rPr>
                <w:sz w:val="18"/>
              </w:rPr>
              <w:t>完整旅程数</w:t>
            </w:r>
          </w:p>
        </w:tc>
        <w:tc>
          <w:tcPr>
            <w:tcW w:type="dxa" w:w="3175"/>
            <w:vAlign w:val="center"/>
          </w:tcPr>
          <w:p>
            <w:pPr>
              <w:spacing w:after="80" w:before="80" w:line="276" w:lineRule="auto"/>
            </w:pPr>
            <w:r>
              <w:rPr>
                <w:sz w:val="18"/>
              </w:rPr>
              <w:t>每月至少有 2 名成员参与且有每日内容和清单的去重旅程数</w:t>
            </w:r>
          </w:p>
        </w:tc>
        <w:tc>
          <w:tcPr>
            <w:tcW w:type="dxa" w:w="3175"/>
            <w:vAlign w:val="center"/>
          </w:tcPr>
          <w:p>
            <w:pPr>
              <w:spacing w:after="80" w:before="80" w:line="276" w:lineRule="auto"/>
            </w:pPr>
            <w:r>
              <w:rPr>
                <w:sz w:val="18"/>
              </w:rPr>
              <w:t>核心增长观察指标，排除样例和测试数据</w:t>
            </w:r>
          </w:p>
        </w:tc>
      </w:tr>
      <w:tr>
        <w:trPr>
          <w:cantSplit/>
        </w:trPr>
        <w:tc>
          <w:tcPr>
            <w:tcW w:type="dxa" w:w="3175"/>
            <w:vAlign w:val="center"/>
          </w:tcPr>
          <w:p>
            <w:pPr>
              <w:spacing w:after="80" w:before="80" w:line="276" w:lineRule="auto"/>
            </w:pPr>
            <w:r>
              <w:rPr>
                <w:sz w:val="18"/>
              </w:rPr>
              <w:t>付费获客成本</w:t>
            </w:r>
          </w:p>
        </w:tc>
        <w:tc>
          <w:tcPr>
            <w:tcW w:type="dxa" w:w="3175"/>
            <w:vAlign w:val="center"/>
          </w:tcPr>
          <w:p>
            <w:pPr>
              <w:spacing w:after="80" w:before="80" w:line="276" w:lineRule="auto"/>
            </w:pPr>
            <w:r>
              <w:rPr>
                <w:sz w:val="18"/>
              </w:rPr>
              <w:t>渠道可归因增长支出÷新增付费用户数</w:t>
            </w:r>
          </w:p>
        </w:tc>
        <w:tc>
          <w:tcPr>
            <w:tcW w:type="dxa" w:w="3175"/>
            <w:vAlign w:val="center"/>
          </w:tcPr>
          <w:p>
            <w:pPr>
              <w:spacing w:after="80" w:before="80" w:line="276" w:lineRule="auto"/>
            </w:pPr>
            <w:r>
              <w:rPr>
                <w:sz w:val="18"/>
              </w:rPr>
              <w:t>成熟渠道目标不高于 60 元</w:t>
            </w:r>
          </w:p>
        </w:tc>
      </w:tr>
      <w:tr>
        <w:trPr>
          <w:cantSplit/>
        </w:trPr>
        <w:tc>
          <w:tcPr>
            <w:tcW w:type="dxa" w:w="3175"/>
            <w:vAlign w:val="center"/>
          </w:tcPr>
          <w:p>
            <w:pPr>
              <w:spacing w:after="80" w:before="80" w:line="276" w:lineRule="auto"/>
            </w:pPr>
            <w:r>
              <w:rPr>
                <w:sz w:val="18"/>
              </w:rPr>
              <w:t>机构留存</w:t>
            </w:r>
          </w:p>
        </w:tc>
        <w:tc>
          <w:tcPr>
            <w:tcW w:type="dxa" w:w="3175"/>
            <w:vAlign w:val="center"/>
          </w:tcPr>
          <w:p>
            <w:pPr>
              <w:spacing w:after="80" w:before="80" w:line="276" w:lineRule="auto"/>
            </w:pPr>
            <w:r>
              <w:rPr>
                <w:sz w:val="18"/>
              </w:rPr>
              <w:t>试点到期后实际续费或继续有偿使用的比例</w:t>
            </w:r>
          </w:p>
        </w:tc>
        <w:tc>
          <w:tcPr>
            <w:tcW w:type="dxa" w:w="3175"/>
            <w:vAlign w:val="center"/>
          </w:tcPr>
          <w:p>
            <w:pPr>
              <w:spacing w:after="80" w:before="80" w:line="276" w:lineRule="auto"/>
            </w:pPr>
            <w:r>
              <w:rPr>
                <w:sz w:val="18"/>
              </w:rPr>
              <w:t>首批样本逐家复盘，不因样本小夸大比例</w:t>
            </w:r>
          </w:p>
        </w:tc>
      </w:tr>
    </w:tbl>
    <w:p>
      <w:pPr>
        <w:spacing w:after="0"/>
      </w:pPr>
    </w:p>
    <w:p>
      <w:r>
        <w:rPr>
          <w:b w:val="0"/>
        </w:rPr>
        <w:t>上述为工作目标，并非已测得基线。连续两个测试周期未改善激活和复用时，暂停扩大投放；机构交付毛利持续不合理时，收缩机构服务范围。</w:t>
      </w:r>
    </w:p>
    <w:p>
      <w:pPr>
        <w:pStyle w:val="Heading1"/>
      </w:pPr>
      <w:r>
        <w:t>七、团队与运营组织</w:t>
      </w:r>
    </w:p>
    <w:p>
      <w:pPr>
        <w:pStyle w:val="Heading2"/>
      </w:pPr>
      <w:r>
        <w:t>7.1 团队现有基础</w:t>
      </w:r>
    </w:p>
    <w:p>
      <w:r>
        <w:rPr>
          <w:b w:val="0"/>
        </w:rPr>
        <w:t>项目已形成可供继续开发和演示的代码、数据结构及专题文档，说明主要产品模块具有工程基础。当前未提供成员姓名、全职情况、教育背景、过往项目、户外资历与劳动关系，不能据此宣称已建立某种规模的团队。</w:t>
      </w:r>
    </w:p>
    <w:p>
      <w:r>
        <w:rPr>
          <w:b w:val="0"/>
        </w:rPr>
        <w:t>正式提交时，负责人应补充与项目有关的真实经历，说明谁负责产品技术、谁核实户外内容、谁负责市场与客户服务；相关资质、证书、作品及劳动关系以附件证明。</w:t>
      </w:r>
    </w:p>
    <w:p>
      <w:pPr>
        <w:pStyle w:val="Heading2"/>
      </w:pPr>
      <w:r>
        <w:t>7.2 初期拟配置岗位</w:t>
      </w:r>
    </w:p>
    <w:tbl>
      <w:tblPr>
        <w:tblStyle w:val="LightShading-Accent1"/>
        <w:tblW w:type="auto" w:w="0"/>
        <w:jc w:val="center"/>
        <w:tblLook w:firstColumn="1" w:firstRow="1" w:lastColumn="0" w:lastRow="0" w:noHBand="0" w:noVBand="1" w:val="04A0"/>
      </w:tblPr>
      <w:tblGrid>
        <w:gridCol w:w="3175"/>
        <w:gridCol w:w="3175"/>
        <w:gridCol w:w="3175"/>
      </w:tblGrid>
      <w:tr>
        <w:trPr>
          <w:cantSplit/>
          <w:tblHeader/>
        </w:trPr>
        <w:tc>
          <w:tcPr>
            <w:tcW w:type="dxa" w:w="3175"/>
            <w:vAlign w:val="center"/>
            <w:shd w:fill="214D43"/>
          </w:tcPr>
          <w:p>
            <w:pPr>
              <w:spacing w:after="80" w:before="80" w:line="276" w:lineRule="auto"/>
            </w:pPr>
            <w:r>
              <w:rPr>
                <w:b/>
                <w:color w:val="FFFFFF"/>
                <w:sz w:val="18"/>
              </w:rPr>
              <w:t>职能</w:t>
            </w:r>
          </w:p>
        </w:tc>
        <w:tc>
          <w:tcPr>
            <w:tcW w:type="dxa" w:w="3175"/>
            <w:vAlign w:val="center"/>
            <w:shd w:fill="214D43"/>
          </w:tcPr>
          <w:p>
            <w:pPr>
              <w:spacing w:after="80" w:before="80" w:line="276" w:lineRule="auto"/>
            </w:pPr>
            <w:r>
              <w:rPr>
                <w:b/>
                <w:color w:val="FFFFFF"/>
                <w:sz w:val="18"/>
              </w:rPr>
              <w:t>拟配置</w:t>
            </w:r>
          </w:p>
        </w:tc>
        <w:tc>
          <w:tcPr>
            <w:tcW w:type="dxa" w:w="3175"/>
            <w:vAlign w:val="center"/>
            <w:shd w:fill="214D43"/>
          </w:tcPr>
          <w:p>
            <w:pPr>
              <w:spacing w:after="80" w:before="80" w:line="276" w:lineRule="auto"/>
            </w:pPr>
            <w:r>
              <w:rPr>
                <w:b/>
                <w:color w:val="FFFFFF"/>
                <w:sz w:val="18"/>
              </w:rPr>
              <w:t>主要职责</w:t>
            </w:r>
          </w:p>
        </w:tc>
      </w:tr>
      <w:tr>
        <w:trPr>
          <w:cantSplit/>
        </w:trPr>
        <w:tc>
          <w:tcPr>
            <w:tcW w:type="dxa" w:w="3175"/>
            <w:vAlign w:val="center"/>
          </w:tcPr>
          <w:p>
            <w:pPr>
              <w:spacing w:after="80" w:before="80" w:line="276" w:lineRule="auto"/>
            </w:pPr>
            <w:r>
              <w:rPr>
                <w:sz w:val="18"/>
              </w:rPr>
              <w:t>项目负责人</w:t>
            </w:r>
          </w:p>
        </w:tc>
        <w:tc>
          <w:tcPr>
            <w:tcW w:type="dxa" w:w="3175"/>
            <w:vAlign w:val="center"/>
          </w:tcPr>
          <w:p>
            <w:pPr>
              <w:spacing w:after="80" w:before="80" w:line="276" w:lineRule="auto"/>
            </w:pPr>
            <w:r>
              <w:rPr>
                <w:sz w:val="18"/>
              </w:rPr>
              <w:t>1 人</w:t>
            </w:r>
          </w:p>
        </w:tc>
        <w:tc>
          <w:tcPr>
            <w:tcW w:type="dxa" w:w="3175"/>
            <w:vAlign w:val="center"/>
          </w:tcPr>
          <w:p>
            <w:pPr>
              <w:spacing w:after="80" w:before="80" w:line="276" w:lineRule="auto"/>
            </w:pPr>
            <w:r>
              <w:rPr>
                <w:sz w:val="18"/>
              </w:rPr>
              <w:t>产品方向、核心研发或研发协调、财务与合作决策</w:t>
            </w:r>
          </w:p>
        </w:tc>
      </w:tr>
      <w:tr>
        <w:trPr>
          <w:cantSplit/>
        </w:trPr>
        <w:tc>
          <w:tcPr>
            <w:tcW w:type="dxa" w:w="3175"/>
            <w:vAlign w:val="center"/>
          </w:tcPr>
          <w:p>
            <w:pPr>
              <w:spacing w:after="80" w:before="80" w:line="276" w:lineRule="auto"/>
            </w:pPr>
            <w:r>
              <w:rPr>
                <w:sz w:val="18"/>
              </w:rPr>
              <w:t>研发与质量</w:t>
            </w:r>
          </w:p>
        </w:tc>
        <w:tc>
          <w:tcPr>
            <w:tcW w:type="dxa" w:w="3175"/>
            <w:vAlign w:val="center"/>
          </w:tcPr>
          <w:p>
            <w:pPr>
              <w:spacing w:after="80" w:before="80" w:line="276" w:lineRule="auto"/>
            </w:pPr>
            <w:r>
              <w:rPr>
                <w:sz w:val="18"/>
              </w:rPr>
              <w:t>1 人全职或稳定合作</w:t>
            </w:r>
          </w:p>
        </w:tc>
        <w:tc>
          <w:tcPr>
            <w:tcW w:type="dxa" w:w="3175"/>
            <w:vAlign w:val="center"/>
          </w:tcPr>
          <w:p>
            <w:pPr>
              <w:spacing w:after="80" w:before="80" w:line="276" w:lineRule="auto"/>
            </w:pPr>
            <w:r>
              <w:rPr>
                <w:sz w:val="18"/>
              </w:rPr>
              <w:t>移动端、后端、发布和真实设备质量</w:t>
            </w:r>
          </w:p>
        </w:tc>
      </w:tr>
      <w:tr>
        <w:trPr>
          <w:cantSplit/>
        </w:trPr>
        <w:tc>
          <w:tcPr>
            <w:tcW w:type="dxa" w:w="3175"/>
            <w:vAlign w:val="center"/>
          </w:tcPr>
          <w:p>
            <w:pPr>
              <w:spacing w:after="80" w:before="80" w:line="276" w:lineRule="auto"/>
            </w:pPr>
            <w:r>
              <w:rPr>
                <w:sz w:val="18"/>
              </w:rPr>
              <w:t>户外内容运营</w:t>
            </w:r>
          </w:p>
        </w:tc>
        <w:tc>
          <w:tcPr>
            <w:tcW w:type="dxa" w:w="3175"/>
            <w:vAlign w:val="center"/>
          </w:tcPr>
          <w:p>
            <w:pPr>
              <w:spacing w:after="80" w:before="80" w:line="276" w:lineRule="auto"/>
            </w:pPr>
            <w:r>
              <w:rPr>
                <w:sz w:val="18"/>
              </w:rPr>
              <w:t>1 人</w:t>
            </w:r>
          </w:p>
        </w:tc>
        <w:tc>
          <w:tcPr>
            <w:tcW w:type="dxa" w:w="3175"/>
            <w:vAlign w:val="center"/>
          </w:tcPr>
          <w:p>
            <w:pPr>
              <w:spacing w:after="80" w:before="80" w:line="276" w:lineRule="auto"/>
            </w:pPr>
            <w:r>
              <w:rPr>
                <w:sz w:val="18"/>
              </w:rPr>
              <w:t>来源核验、方案编辑、更新与用户反馈处理</w:t>
            </w:r>
          </w:p>
        </w:tc>
      </w:tr>
      <w:tr>
        <w:trPr>
          <w:cantSplit/>
        </w:trPr>
        <w:tc>
          <w:tcPr>
            <w:tcW w:type="dxa" w:w="3175"/>
            <w:vAlign w:val="center"/>
          </w:tcPr>
          <w:p>
            <w:pPr>
              <w:spacing w:after="80" w:before="80" w:line="276" w:lineRule="auto"/>
            </w:pPr>
            <w:r>
              <w:rPr>
                <w:sz w:val="18"/>
              </w:rPr>
              <w:t>增长与客户服务</w:t>
            </w:r>
          </w:p>
        </w:tc>
        <w:tc>
          <w:tcPr>
            <w:tcW w:type="dxa" w:w="3175"/>
            <w:vAlign w:val="center"/>
          </w:tcPr>
          <w:p>
            <w:pPr>
              <w:spacing w:after="80" w:before="80" w:line="276" w:lineRule="auto"/>
            </w:pPr>
            <w:r>
              <w:rPr>
                <w:sz w:val="18"/>
              </w:rPr>
              <w:t>1 人，按验证结果投入</w:t>
            </w:r>
          </w:p>
        </w:tc>
        <w:tc>
          <w:tcPr>
            <w:tcW w:type="dxa" w:w="3175"/>
            <w:vAlign w:val="center"/>
          </w:tcPr>
          <w:p>
            <w:pPr>
              <w:spacing w:after="80" w:before="80" w:line="276" w:lineRule="auto"/>
            </w:pPr>
            <w:r>
              <w:rPr>
                <w:sz w:val="18"/>
              </w:rPr>
              <w:t>社群试点、机构交付、客服与数据复盘</w:t>
            </w:r>
          </w:p>
        </w:tc>
      </w:tr>
    </w:tbl>
    <w:p>
      <w:pPr>
        <w:spacing w:after="0"/>
      </w:pPr>
    </w:p>
    <w:p>
      <w:r>
        <w:rPr>
          <w:b w:val="0"/>
        </w:rPr>
        <w:t>第一年拟形成含负责人在内约 4 人的精简组织。其他岗位是否构成直接就业，按实际劳动或用工关系确认。外部顾问、临时核验和供应商合作单独记录，不合并为全职人数。</w:t>
      </w:r>
    </w:p>
    <w:p>
      <w:pPr>
        <w:pStyle w:val="Heading2"/>
      </w:pPr>
      <w:r>
        <w:t>7.3 内容运营流程</w:t>
      </w:r>
    </w:p>
    <w:p>
      <w:r>
        <w:rPr>
          <w:b w:val="0"/>
        </w:rPr>
        <w:t>选线与授权确认 → 收集合法可用资料 → AI 辅助整理草稿 → 人工交叉核验 → 发布带版本与日期的方案 → 接收反馈 → 复核修订或暂停展示。</w:t>
      </w:r>
    </w:p>
    <w:p>
      <w:r>
        <w:rPr>
          <w:b w:val="0"/>
        </w:rPr>
        <w:t>路线变化、封闭和关键条件不明时，优先暂停不可靠内容。内容覆盖扩大必须同步增加维护能力；未经授权的文章和图片不能直接批量搬运。</w:t>
      </w:r>
    </w:p>
    <w:p>
      <w:pPr>
        <w:pStyle w:val="Heading1"/>
      </w:pPr>
      <w:r>
        <w:t>八、社会价值与就业带动</w:t>
      </w:r>
    </w:p>
    <w:p>
      <w:pPr>
        <w:pStyle w:val="Heading2"/>
      </w:pPr>
      <w:r>
        <w:t>8.1 拟形成的本地价值</w:t>
      </w:r>
    </w:p>
    <w:p>
      <w:r>
        <w:rPr>
          <w:b w:val="0"/>
        </w:rPr>
        <w:t>对普通用户，项目提供清晰的行前准备工具，降低信息整理门槛。对小型组织者，项目提供可复用的数字化准备方式。对本地服务方，经过核实的路线内容有机会让相关住宿、接驳和装备服务更容易被有明确需求的用户发现。</w:t>
      </w:r>
    </w:p>
    <w:p>
      <w:r>
        <w:rPr>
          <w:b w:val="0"/>
        </w:rPr>
        <w:t>乡村目的地合作应以合规开放、生态承载和真实履约为前提。优先研究可持续的小规模体验，不以引导进入保护区、封闭区域或缺乏接待能力的村落获取流量。</w:t>
      </w:r>
    </w:p>
    <w:p>
      <w:pPr>
        <w:pStyle w:val="Heading2"/>
      </w:pPr>
      <w:r>
        <w:t>8.2 就业目标与证据口径</w:t>
      </w:r>
    </w:p>
    <w:tbl>
      <w:tblPr>
        <w:tblStyle w:val="LightShading-Accent1"/>
        <w:tblW w:type="auto" w:w="0"/>
        <w:jc w:val="center"/>
        <w:tblLook w:firstColumn="1" w:firstRow="1" w:lastColumn="0" w:lastRow="0" w:noHBand="0" w:noVBand="1" w:val="04A0"/>
      </w:tblPr>
      <w:tblGrid>
        <w:gridCol w:w="2381"/>
        <w:gridCol w:w="2381"/>
        <w:gridCol w:w="2381"/>
        <w:gridCol w:w="2381"/>
      </w:tblGrid>
      <w:tr>
        <w:trPr>
          <w:cantSplit/>
          <w:tblHeader/>
        </w:trPr>
        <w:tc>
          <w:tcPr>
            <w:tcW w:type="dxa" w:w="2381"/>
            <w:vAlign w:val="center"/>
            <w:shd w:fill="214D43"/>
          </w:tcPr>
          <w:p>
            <w:pPr>
              <w:spacing w:after="80" w:before="80" w:line="276" w:lineRule="auto"/>
            </w:pPr>
            <w:r>
              <w:rPr>
                <w:b/>
                <w:color w:val="FFFFFF"/>
                <w:sz w:val="18"/>
              </w:rPr>
              <w:t>类别</w:t>
            </w:r>
          </w:p>
        </w:tc>
        <w:tc>
          <w:tcPr>
            <w:tcW w:type="dxa" w:w="2381"/>
            <w:vAlign w:val="center"/>
            <w:shd w:fill="214D43"/>
          </w:tcPr>
          <w:p>
            <w:pPr>
              <w:spacing w:after="80" w:before="80" w:line="276" w:lineRule="auto"/>
            </w:pPr>
            <w:r>
              <w:rPr>
                <w:b/>
                <w:color w:val="FFFFFF"/>
                <w:sz w:val="18"/>
              </w:rPr>
              <w:t>第一年规划</w:t>
            </w:r>
          </w:p>
        </w:tc>
        <w:tc>
          <w:tcPr>
            <w:tcW w:type="dxa" w:w="2381"/>
            <w:vAlign w:val="center"/>
            <w:shd w:fill="214D43"/>
          </w:tcPr>
          <w:p>
            <w:pPr>
              <w:spacing w:after="80" w:before="80" w:line="276" w:lineRule="auto"/>
            </w:pPr>
            <w:r>
              <w:rPr>
                <w:b/>
                <w:color w:val="FFFFFF"/>
                <w:sz w:val="18"/>
              </w:rPr>
              <w:t>第三年规划</w:t>
            </w:r>
          </w:p>
        </w:tc>
        <w:tc>
          <w:tcPr>
            <w:tcW w:type="dxa" w:w="2381"/>
            <w:vAlign w:val="center"/>
            <w:shd w:fill="214D43"/>
          </w:tcPr>
          <w:p>
            <w:pPr>
              <w:spacing w:after="80" w:before="80" w:line="276" w:lineRule="auto"/>
            </w:pPr>
            <w:r>
              <w:rPr>
                <w:b/>
                <w:color w:val="FFFFFF"/>
                <w:sz w:val="18"/>
              </w:rPr>
              <w:t>统计与证明方式</w:t>
            </w:r>
          </w:p>
        </w:tc>
      </w:tr>
      <w:tr>
        <w:trPr>
          <w:cantSplit/>
        </w:trPr>
        <w:tc>
          <w:tcPr>
            <w:tcW w:type="dxa" w:w="2381"/>
            <w:vAlign w:val="center"/>
          </w:tcPr>
          <w:p>
            <w:pPr>
              <w:spacing w:after="80" w:before="80" w:line="276" w:lineRule="auto"/>
            </w:pPr>
            <w:r>
              <w:rPr>
                <w:sz w:val="18"/>
              </w:rPr>
              <w:t>直接用工</w:t>
            </w:r>
          </w:p>
        </w:tc>
        <w:tc>
          <w:tcPr>
            <w:tcW w:type="dxa" w:w="2381"/>
            <w:vAlign w:val="center"/>
          </w:tcPr>
          <w:p>
            <w:pPr>
              <w:spacing w:after="80" w:before="80" w:line="276" w:lineRule="auto"/>
            </w:pPr>
            <w:r>
              <w:rPr>
                <w:sz w:val="18"/>
              </w:rPr>
              <w:t>负责人之外约 3 人</w:t>
            </w:r>
          </w:p>
        </w:tc>
        <w:tc>
          <w:tcPr>
            <w:tcW w:type="dxa" w:w="2381"/>
            <w:vAlign w:val="center"/>
          </w:tcPr>
          <w:p>
            <w:pPr>
              <w:spacing w:after="80" w:before="80" w:line="276" w:lineRule="auto"/>
            </w:pPr>
            <w:r>
              <w:rPr>
                <w:sz w:val="18"/>
              </w:rPr>
              <w:t>负责人之外约 6 人</w:t>
            </w:r>
          </w:p>
        </w:tc>
        <w:tc>
          <w:tcPr>
            <w:tcW w:type="dxa" w:w="2381"/>
            <w:vAlign w:val="center"/>
          </w:tcPr>
          <w:p>
            <w:pPr>
              <w:spacing w:after="80" w:before="80" w:line="276" w:lineRule="auto"/>
            </w:pPr>
            <w:r>
              <w:rPr>
                <w:sz w:val="18"/>
              </w:rPr>
              <w:t>劳动合同、工资或社保等实际材料</w:t>
            </w:r>
          </w:p>
        </w:tc>
      </w:tr>
      <w:tr>
        <w:trPr>
          <w:cantSplit/>
        </w:trPr>
        <w:tc>
          <w:tcPr>
            <w:tcW w:type="dxa" w:w="2381"/>
            <w:vAlign w:val="center"/>
          </w:tcPr>
          <w:p>
            <w:pPr>
              <w:spacing w:after="80" w:before="80" w:line="276" w:lineRule="auto"/>
            </w:pPr>
            <w:r>
              <w:rPr>
                <w:sz w:val="18"/>
              </w:rPr>
              <w:t>路线核验与内容合作</w:t>
            </w:r>
          </w:p>
        </w:tc>
        <w:tc>
          <w:tcPr>
            <w:tcW w:type="dxa" w:w="2381"/>
            <w:vAlign w:val="center"/>
          </w:tcPr>
          <w:p>
            <w:pPr>
              <w:spacing w:after="80" w:before="80" w:line="276" w:lineRule="auto"/>
            </w:pPr>
            <w:r>
              <w:rPr>
                <w:sz w:val="18"/>
              </w:rPr>
              <w:t>5～10 人参与有偿任务</w:t>
            </w:r>
          </w:p>
        </w:tc>
        <w:tc>
          <w:tcPr>
            <w:tcW w:type="dxa" w:w="2381"/>
            <w:vAlign w:val="center"/>
          </w:tcPr>
          <w:p>
            <w:pPr>
              <w:spacing w:after="80" w:before="80" w:line="276" w:lineRule="auto"/>
            </w:pPr>
            <w:r>
              <w:rPr>
                <w:sz w:val="18"/>
              </w:rPr>
              <w:t>15～20 人参与有偿任务</w:t>
            </w:r>
          </w:p>
        </w:tc>
        <w:tc>
          <w:tcPr>
            <w:tcW w:type="dxa" w:w="2381"/>
            <w:vAlign w:val="center"/>
          </w:tcPr>
          <w:p>
            <w:pPr>
              <w:spacing w:after="80" w:before="80" w:line="276" w:lineRule="auto"/>
            </w:pPr>
            <w:r>
              <w:rPr>
                <w:sz w:val="18"/>
              </w:rPr>
              <w:t>任务合同、验收与付款记录，不称全职就业</w:t>
            </w:r>
          </w:p>
        </w:tc>
      </w:tr>
      <w:tr>
        <w:trPr>
          <w:cantSplit/>
        </w:trPr>
        <w:tc>
          <w:tcPr>
            <w:tcW w:type="dxa" w:w="2381"/>
            <w:vAlign w:val="center"/>
          </w:tcPr>
          <w:p>
            <w:pPr>
              <w:spacing w:after="80" w:before="80" w:line="276" w:lineRule="auto"/>
            </w:pPr>
            <w:r>
              <w:rPr>
                <w:sz w:val="18"/>
              </w:rPr>
              <w:t>本地服务合作</w:t>
            </w:r>
          </w:p>
        </w:tc>
        <w:tc>
          <w:tcPr>
            <w:tcW w:type="dxa" w:w="2381"/>
            <w:vAlign w:val="center"/>
          </w:tcPr>
          <w:p>
            <w:pPr>
              <w:spacing w:after="80" w:before="80" w:line="276" w:lineRule="auto"/>
            </w:pPr>
            <w:r>
              <w:rPr>
                <w:sz w:val="18"/>
              </w:rPr>
              <w:t>建立少量可核实试点</w:t>
            </w:r>
          </w:p>
        </w:tc>
        <w:tc>
          <w:tcPr>
            <w:tcW w:type="dxa" w:w="2381"/>
            <w:vAlign w:val="center"/>
          </w:tcPr>
          <w:p>
            <w:pPr>
              <w:spacing w:after="80" w:before="80" w:line="276" w:lineRule="auto"/>
            </w:pPr>
            <w:r>
              <w:rPr>
                <w:sz w:val="18"/>
              </w:rPr>
              <w:t>随有效交易增长扩大</w:t>
            </w:r>
          </w:p>
        </w:tc>
        <w:tc>
          <w:tcPr>
            <w:tcW w:type="dxa" w:w="2381"/>
            <w:vAlign w:val="center"/>
          </w:tcPr>
          <w:p>
            <w:pPr>
              <w:spacing w:after="80" w:before="80" w:line="276" w:lineRule="auto"/>
            </w:pPr>
            <w:r>
              <w:rPr>
                <w:sz w:val="18"/>
              </w:rPr>
              <w:t>按实际订单和结算记录披露，不推算未经证明的新增就业</w:t>
            </w:r>
          </w:p>
        </w:tc>
      </w:tr>
    </w:tbl>
    <w:p>
      <w:pPr>
        <w:spacing w:after="0"/>
      </w:pPr>
    </w:p>
    <w:p>
      <w:r>
        <w:rPr>
          <w:b w:val="0"/>
        </w:rPr>
        <w:t>这些数字是未来目标，不能作为报名时“已带动就业”的证明。内容任务参与者和服务方可能交叉，不跨类别简单求和。</w:t>
      </w:r>
    </w:p>
    <w:p>
      <w:pPr>
        <w:pStyle w:val="Heading2"/>
      </w:pPr>
      <w:r>
        <w:t>8.3 成效评估</w:t>
      </w:r>
    </w:p>
    <w:p>
      <w:r>
        <w:rPr>
          <w:b w:val="0"/>
        </w:rPr>
        <w:t>按季度披露新增正式用工、有效内容任务及支付金额、实际合作商户、退款后有效服务订单和用户投诉处理情况。避免把合作意向、页面曝光或出行人数直接转换为农户增收和就业成绩。</w:t>
      </w:r>
    </w:p>
    <w:p>
      <w:pPr>
        <w:pStyle w:val="Heading1"/>
      </w:pPr>
      <w:r>
        <w:t>九、三年财务测算</w:t>
      </w:r>
    </w:p>
    <w:p>
      <w:pPr>
        <w:pStyle w:val="Heading2"/>
      </w:pPr>
      <w:r>
        <w:t>9.1 假设与口径</w:t>
      </w:r>
    </w:p>
    <w:p>
      <w:r>
        <w:rPr>
          <w:b w:val="0"/>
        </w:rPr>
        <w:t>预测期为获得启动资金并正式运营后的第 1、2、3 个完整经营年度，不将 2026 年剩余月份视为全年。下表所有经营量均为假设，需以真实数据逐季更新。</w:t>
      </w:r>
    </w:p>
    <w:p>
      <w:r>
        <w:rPr>
          <w:b w:val="0"/>
        </w:rPr>
        <w:t>会员用户采用“付费有效用户年”的口径，即全年有效付费服务月数除以 12；期末付费人数不直接当全年平均。机构数采用全年付费服务当量，首年年中签约按服务期折算。会员净收入 99 元是测算单位，并非已经实现的客单价。</w:t>
      </w:r>
    </w:p>
    <w:p>
      <w:r>
        <w:rPr>
          <w:b w:val="0"/>
        </w:rPr>
        <w:t>交易服务只确认净服务费，不把交易总额计入营业收入。收入与成本为管理测算口径，尚非审计报表；未单列所得税、折旧摊销、资本支出和应收账款变化，经营结余不等于税后净利润或实际现金净流量。</w:t>
      </w:r>
    </w:p>
    <w:p>
      <w:pPr>
        <w:pStyle w:val="Heading2"/>
      </w:pPr>
      <w:r>
        <w:t>9.2 收入假设</w:t>
      </w:r>
    </w:p>
    <w:tbl>
      <w:tblPr>
        <w:tblStyle w:val="LightShading-Accent1"/>
        <w:tblW w:type="auto" w:w="0"/>
        <w:jc w:val="center"/>
        <w:tblLook w:firstColumn="1" w:firstRow="1" w:lastColumn="0" w:lastRow="0" w:noHBand="0" w:noVBand="1" w:val="04A0"/>
      </w:tblPr>
      <w:tblGrid>
        <w:gridCol w:w="2381"/>
        <w:gridCol w:w="2381"/>
        <w:gridCol w:w="2381"/>
        <w:gridCol w:w="2381"/>
      </w:tblGrid>
      <w:tr>
        <w:trPr>
          <w:cantSplit/>
          <w:tblHeader/>
        </w:trPr>
        <w:tc>
          <w:tcPr>
            <w:tcW w:type="dxa" w:w="2381"/>
            <w:vAlign w:val="center"/>
            <w:shd w:fill="214D43"/>
          </w:tcPr>
          <w:p>
            <w:pPr>
              <w:spacing w:after="80" w:before="80" w:line="276" w:lineRule="auto"/>
            </w:pPr>
            <w:r>
              <w:rPr>
                <w:b/>
                <w:color w:val="FFFFFF"/>
                <w:sz w:val="18"/>
              </w:rPr>
              <w:t>指标</w:t>
            </w:r>
          </w:p>
        </w:tc>
        <w:tc>
          <w:tcPr>
            <w:tcW w:type="dxa" w:w="2381"/>
            <w:vAlign w:val="center"/>
            <w:shd w:fill="214D43"/>
          </w:tcPr>
          <w:p>
            <w:pPr>
              <w:spacing w:after="80" w:before="80" w:line="276" w:lineRule="auto"/>
            </w:pPr>
            <w:r>
              <w:rPr>
                <w:b/>
                <w:color w:val="FFFFFF"/>
                <w:sz w:val="18"/>
              </w:rPr>
              <w:t>第一年</w:t>
            </w:r>
          </w:p>
        </w:tc>
        <w:tc>
          <w:tcPr>
            <w:tcW w:type="dxa" w:w="2381"/>
            <w:vAlign w:val="center"/>
            <w:shd w:fill="214D43"/>
          </w:tcPr>
          <w:p>
            <w:pPr>
              <w:spacing w:after="80" w:before="80" w:line="276" w:lineRule="auto"/>
            </w:pPr>
            <w:r>
              <w:rPr>
                <w:b/>
                <w:color w:val="FFFFFF"/>
                <w:sz w:val="18"/>
              </w:rPr>
              <w:t>第二年</w:t>
            </w:r>
          </w:p>
        </w:tc>
        <w:tc>
          <w:tcPr>
            <w:tcW w:type="dxa" w:w="2381"/>
            <w:vAlign w:val="center"/>
            <w:shd w:fill="214D43"/>
          </w:tcPr>
          <w:p>
            <w:pPr>
              <w:spacing w:after="80" w:before="80" w:line="276" w:lineRule="auto"/>
            </w:pPr>
            <w:r>
              <w:rPr>
                <w:b/>
                <w:color w:val="FFFFFF"/>
                <w:sz w:val="18"/>
              </w:rPr>
              <w:t>第三年</w:t>
            </w:r>
          </w:p>
        </w:tc>
      </w:tr>
      <w:tr>
        <w:trPr>
          <w:cantSplit/>
        </w:trPr>
        <w:tc>
          <w:tcPr>
            <w:tcW w:type="dxa" w:w="2381"/>
            <w:vAlign w:val="center"/>
          </w:tcPr>
          <w:p>
            <w:pPr>
              <w:spacing w:after="80" w:before="80" w:line="276" w:lineRule="auto"/>
            </w:pPr>
            <w:r>
              <w:rPr>
                <w:sz w:val="18"/>
              </w:rPr>
              <w:t>年度活跃用户目标</w:t>
            </w:r>
          </w:p>
        </w:tc>
        <w:tc>
          <w:tcPr>
            <w:tcW w:type="dxa" w:w="2381"/>
            <w:vAlign w:val="center"/>
          </w:tcPr>
          <w:p>
            <w:pPr>
              <w:spacing w:after="80" w:before="80" w:line="276" w:lineRule="auto"/>
            </w:pPr>
            <w:r>
              <w:rPr>
                <w:sz w:val="18"/>
              </w:rPr>
              <w:t>10,000</w:t>
            </w:r>
          </w:p>
        </w:tc>
        <w:tc>
          <w:tcPr>
            <w:tcW w:type="dxa" w:w="2381"/>
            <w:vAlign w:val="center"/>
          </w:tcPr>
          <w:p>
            <w:pPr>
              <w:spacing w:after="80" w:before="80" w:line="276" w:lineRule="auto"/>
            </w:pPr>
            <w:r>
              <w:rPr>
                <w:sz w:val="18"/>
              </w:rPr>
              <w:t>40,000</w:t>
            </w:r>
          </w:p>
        </w:tc>
        <w:tc>
          <w:tcPr>
            <w:tcW w:type="dxa" w:w="2381"/>
            <w:vAlign w:val="center"/>
          </w:tcPr>
          <w:p>
            <w:pPr>
              <w:spacing w:after="80" w:before="80" w:line="276" w:lineRule="auto"/>
            </w:pPr>
            <w:r>
              <w:rPr>
                <w:sz w:val="18"/>
              </w:rPr>
              <w:t>100,000</w:t>
            </w:r>
          </w:p>
        </w:tc>
      </w:tr>
      <w:tr>
        <w:trPr>
          <w:cantSplit/>
        </w:trPr>
        <w:tc>
          <w:tcPr>
            <w:tcW w:type="dxa" w:w="2381"/>
            <w:vAlign w:val="center"/>
          </w:tcPr>
          <w:p>
            <w:pPr>
              <w:spacing w:after="80" w:before="80" w:line="276" w:lineRule="auto"/>
            </w:pPr>
            <w:r>
              <w:rPr>
                <w:sz w:val="18"/>
              </w:rPr>
              <w:t>平均付费有效用户年</w:t>
            </w:r>
          </w:p>
        </w:tc>
        <w:tc>
          <w:tcPr>
            <w:tcW w:type="dxa" w:w="2381"/>
            <w:vAlign w:val="center"/>
          </w:tcPr>
          <w:p>
            <w:pPr>
              <w:spacing w:after="80" w:before="80" w:line="276" w:lineRule="auto"/>
            </w:pPr>
            <w:r>
              <w:rPr>
                <w:sz w:val="18"/>
              </w:rPr>
              <w:t>800</w:t>
            </w:r>
          </w:p>
        </w:tc>
        <w:tc>
          <w:tcPr>
            <w:tcW w:type="dxa" w:w="2381"/>
            <w:vAlign w:val="center"/>
          </w:tcPr>
          <w:p>
            <w:pPr>
              <w:spacing w:after="80" w:before="80" w:line="276" w:lineRule="auto"/>
            </w:pPr>
            <w:r>
              <w:rPr>
                <w:sz w:val="18"/>
              </w:rPr>
              <w:t>3,500</w:t>
            </w:r>
          </w:p>
        </w:tc>
        <w:tc>
          <w:tcPr>
            <w:tcW w:type="dxa" w:w="2381"/>
            <w:vAlign w:val="center"/>
          </w:tcPr>
          <w:p>
            <w:pPr>
              <w:spacing w:after="80" w:before="80" w:line="276" w:lineRule="auto"/>
            </w:pPr>
            <w:r>
              <w:rPr>
                <w:sz w:val="18"/>
              </w:rPr>
              <w:t>10,000</w:t>
            </w:r>
          </w:p>
        </w:tc>
      </w:tr>
      <w:tr>
        <w:trPr>
          <w:cantSplit/>
        </w:trPr>
        <w:tc>
          <w:tcPr>
            <w:tcW w:type="dxa" w:w="2381"/>
            <w:vAlign w:val="center"/>
          </w:tcPr>
          <w:p>
            <w:pPr>
              <w:spacing w:after="80" w:before="80" w:line="276" w:lineRule="auto"/>
            </w:pPr>
            <w:r>
              <w:rPr>
                <w:sz w:val="18"/>
              </w:rPr>
              <w:t>单位会员年净收入</w:t>
            </w:r>
          </w:p>
        </w:tc>
        <w:tc>
          <w:tcPr>
            <w:tcW w:type="dxa" w:w="2381"/>
            <w:vAlign w:val="center"/>
          </w:tcPr>
          <w:p>
            <w:pPr>
              <w:spacing w:after="80" w:before="80" w:line="276" w:lineRule="auto"/>
            </w:pPr>
            <w:r>
              <w:rPr>
                <w:sz w:val="18"/>
              </w:rPr>
              <w:t>99 元</w:t>
            </w:r>
          </w:p>
        </w:tc>
        <w:tc>
          <w:tcPr>
            <w:tcW w:type="dxa" w:w="2381"/>
            <w:vAlign w:val="center"/>
          </w:tcPr>
          <w:p>
            <w:pPr>
              <w:spacing w:after="80" w:before="80" w:line="276" w:lineRule="auto"/>
            </w:pPr>
            <w:r>
              <w:rPr>
                <w:sz w:val="18"/>
              </w:rPr>
              <w:t>99 元</w:t>
            </w:r>
          </w:p>
        </w:tc>
        <w:tc>
          <w:tcPr>
            <w:tcW w:type="dxa" w:w="2381"/>
            <w:vAlign w:val="center"/>
          </w:tcPr>
          <w:p>
            <w:pPr>
              <w:spacing w:after="80" w:before="80" w:line="276" w:lineRule="auto"/>
            </w:pPr>
            <w:r>
              <w:rPr>
                <w:sz w:val="18"/>
              </w:rPr>
              <w:t>99 元</w:t>
            </w:r>
          </w:p>
        </w:tc>
      </w:tr>
      <w:tr>
        <w:trPr>
          <w:cantSplit/>
        </w:trPr>
        <w:tc>
          <w:tcPr>
            <w:tcW w:type="dxa" w:w="2381"/>
            <w:vAlign w:val="center"/>
          </w:tcPr>
          <w:p>
            <w:pPr>
              <w:spacing w:after="80" w:before="80" w:line="276" w:lineRule="auto"/>
            </w:pPr>
            <w:r>
              <w:rPr>
                <w:sz w:val="18"/>
              </w:rPr>
              <w:t>会员收入</w:t>
            </w:r>
          </w:p>
        </w:tc>
        <w:tc>
          <w:tcPr>
            <w:tcW w:type="dxa" w:w="2381"/>
            <w:vAlign w:val="center"/>
          </w:tcPr>
          <w:p>
            <w:pPr>
              <w:spacing w:after="80" w:before="80" w:line="276" w:lineRule="auto"/>
            </w:pPr>
            <w:r>
              <w:rPr>
                <w:sz w:val="18"/>
              </w:rPr>
              <w:t>7.92 万元</w:t>
            </w:r>
          </w:p>
        </w:tc>
        <w:tc>
          <w:tcPr>
            <w:tcW w:type="dxa" w:w="2381"/>
            <w:vAlign w:val="center"/>
          </w:tcPr>
          <w:p>
            <w:pPr>
              <w:spacing w:after="80" w:before="80" w:line="276" w:lineRule="auto"/>
            </w:pPr>
            <w:r>
              <w:rPr>
                <w:sz w:val="18"/>
              </w:rPr>
              <w:t>34.65 万元</w:t>
            </w:r>
          </w:p>
        </w:tc>
        <w:tc>
          <w:tcPr>
            <w:tcW w:type="dxa" w:w="2381"/>
            <w:vAlign w:val="center"/>
          </w:tcPr>
          <w:p>
            <w:pPr>
              <w:spacing w:after="80" w:before="80" w:line="276" w:lineRule="auto"/>
            </w:pPr>
            <w:r>
              <w:rPr>
                <w:sz w:val="18"/>
              </w:rPr>
              <w:t>99.00 万元</w:t>
            </w:r>
          </w:p>
        </w:tc>
      </w:tr>
      <w:tr>
        <w:trPr>
          <w:cantSplit/>
        </w:trPr>
        <w:tc>
          <w:tcPr>
            <w:tcW w:type="dxa" w:w="2381"/>
            <w:vAlign w:val="center"/>
          </w:tcPr>
          <w:p>
            <w:pPr>
              <w:spacing w:after="80" w:before="80" w:line="276" w:lineRule="auto"/>
            </w:pPr>
            <w:r>
              <w:rPr>
                <w:sz w:val="18"/>
              </w:rPr>
              <w:t>付费机构服务当量</w:t>
            </w:r>
          </w:p>
        </w:tc>
        <w:tc>
          <w:tcPr>
            <w:tcW w:type="dxa" w:w="2381"/>
            <w:vAlign w:val="center"/>
          </w:tcPr>
          <w:p>
            <w:pPr>
              <w:spacing w:after="80" w:before="80" w:line="276" w:lineRule="auto"/>
            </w:pPr>
            <w:r>
              <w:rPr>
                <w:sz w:val="18"/>
              </w:rPr>
              <w:t>6 家</w:t>
            </w:r>
          </w:p>
        </w:tc>
        <w:tc>
          <w:tcPr>
            <w:tcW w:type="dxa" w:w="2381"/>
            <w:vAlign w:val="center"/>
          </w:tcPr>
          <w:p>
            <w:pPr>
              <w:spacing w:after="80" w:before="80" w:line="276" w:lineRule="auto"/>
            </w:pPr>
            <w:r>
              <w:rPr>
                <w:sz w:val="18"/>
              </w:rPr>
              <w:t>25 家</w:t>
            </w:r>
          </w:p>
        </w:tc>
        <w:tc>
          <w:tcPr>
            <w:tcW w:type="dxa" w:w="2381"/>
            <w:vAlign w:val="center"/>
          </w:tcPr>
          <w:p>
            <w:pPr>
              <w:spacing w:after="80" w:before="80" w:line="276" w:lineRule="auto"/>
            </w:pPr>
            <w:r>
              <w:rPr>
                <w:sz w:val="18"/>
              </w:rPr>
              <w:t>60 家</w:t>
            </w:r>
          </w:p>
        </w:tc>
      </w:tr>
      <w:tr>
        <w:trPr>
          <w:cantSplit/>
        </w:trPr>
        <w:tc>
          <w:tcPr>
            <w:tcW w:type="dxa" w:w="2381"/>
            <w:vAlign w:val="center"/>
          </w:tcPr>
          <w:p>
            <w:pPr>
              <w:spacing w:after="80" w:before="80" w:line="276" w:lineRule="auto"/>
            </w:pPr>
            <w:r>
              <w:rPr>
                <w:sz w:val="18"/>
              </w:rPr>
              <w:t>单家机构年净收入</w:t>
            </w:r>
          </w:p>
        </w:tc>
        <w:tc>
          <w:tcPr>
            <w:tcW w:type="dxa" w:w="2381"/>
            <w:vAlign w:val="center"/>
          </w:tcPr>
          <w:p>
            <w:pPr>
              <w:spacing w:after="80" w:before="80" w:line="276" w:lineRule="auto"/>
            </w:pPr>
            <w:r>
              <w:rPr>
                <w:sz w:val="18"/>
              </w:rPr>
              <w:t>6,000 元</w:t>
            </w:r>
          </w:p>
        </w:tc>
        <w:tc>
          <w:tcPr>
            <w:tcW w:type="dxa" w:w="2381"/>
            <w:vAlign w:val="center"/>
          </w:tcPr>
          <w:p>
            <w:pPr>
              <w:spacing w:after="80" w:before="80" w:line="276" w:lineRule="auto"/>
            </w:pPr>
            <w:r>
              <w:rPr>
                <w:sz w:val="18"/>
              </w:rPr>
              <w:t>9,000 元</w:t>
            </w:r>
          </w:p>
        </w:tc>
        <w:tc>
          <w:tcPr>
            <w:tcW w:type="dxa" w:w="2381"/>
            <w:vAlign w:val="center"/>
          </w:tcPr>
          <w:p>
            <w:pPr>
              <w:spacing w:after="80" w:before="80" w:line="276" w:lineRule="auto"/>
            </w:pPr>
            <w:r>
              <w:rPr>
                <w:sz w:val="18"/>
              </w:rPr>
              <w:t>12,000 元</w:t>
            </w:r>
          </w:p>
        </w:tc>
      </w:tr>
      <w:tr>
        <w:trPr>
          <w:cantSplit/>
        </w:trPr>
        <w:tc>
          <w:tcPr>
            <w:tcW w:type="dxa" w:w="2381"/>
            <w:vAlign w:val="center"/>
          </w:tcPr>
          <w:p>
            <w:pPr>
              <w:spacing w:after="80" w:before="80" w:line="276" w:lineRule="auto"/>
            </w:pPr>
            <w:r>
              <w:rPr>
                <w:sz w:val="18"/>
              </w:rPr>
              <w:t>机构服务收入</w:t>
            </w:r>
          </w:p>
        </w:tc>
        <w:tc>
          <w:tcPr>
            <w:tcW w:type="dxa" w:w="2381"/>
            <w:vAlign w:val="center"/>
          </w:tcPr>
          <w:p>
            <w:pPr>
              <w:spacing w:after="80" w:before="80" w:line="276" w:lineRule="auto"/>
            </w:pPr>
            <w:r>
              <w:rPr>
                <w:sz w:val="18"/>
              </w:rPr>
              <w:t>3.60 万元</w:t>
            </w:r>
          </w:p>
        </w:tc>
        <w:tc>
          <w:tcPr>
            <w:tcW w:type="dxa" w:w="2381"/>
            <w:vAlign w:val="center"/>
          </w:tcPr>
          <w:p>
            <w:pPr>
              <w:spacing w:after="80" w:before="80" w:line="276" w:lineRule="auto"/>
            </w:pPr>
            <w:r>
              <w:rPr>
                <w:sz w:val="18"/>
              </w:rPr>
              <w:t>22.50 万元</w:t>
            </w:r>
          </w:p>
        </w:tc>
        <w:tc>
          <w:tcPr>
            <w:tcW w:type="dxa" w:w="2381"/>
            <w:vAlign w:val="center"/>
          </w:tcPr>
          <w:p>
            <w:pPr>
              <w:spacing w:after="80" w:before="80" w:line="276" w:lineRule="auto"/>
            </w:pPr>
            <w:r>
              <w:rPr>
                <w:sz w:val="18"/>
              </w:rPr>
              <w:t>72.00 万元</w:t>
            </w:r>
          </w:p>
        </w:tc>
      </w:tr>
      <w:tr>
        <w:trPr>
          <w:cantSplit/>
        </w:trPr>
        <w:tc>
          <w:tcPr>
            <w:tcW w:type="dxa" w:w="2381"/>
            <w:vAlign w:val="center"/>
          </w:tcPr>
          <w:p>
            <w:pPr>
              <w:spacing w:after="80" w:before="80" w:line="276" w:lineRule="auto"/>
            </w:pPr>
            <w:r>
              <w:rPr>
                <w:sz w:val="18"/>
              </w:rPr>
              <w:t>有效服务交易笔数</w:t>
            </w:r>
          </w:p>
        </w:tc>
        <w:tc>
          <w:tcPr>
            <w:tcW w:type="dxa" w:w="2381"/>
            <w:vAlign w:val="center"/>
          </w:tcPr>
          <w:p>
            <w:pPr>
              <w:spacing w:after="80" w:before="80" w:line="276" w:lineRule="auto"/>
            </w:pPr>
            <w:r>
              <w:rPr>
                <w:sz w:val="18"/>
              </w:rPr>
              <w:t>400</w:t>
            </w:r>
          </w:p>
        </w:tc>
        <w:tc>
          <w:tcPr>
            <w:tcW w:type="dxa" w:w="2381"/>
            <w:vAlign w:val="center"/>
          </w:tcPr>
          <w:p>
            <w:pPr>
              <w:spacing w:after="80" w:before="80" w:line="276" w:lineRule="auto"/>
            </w:pPr>
            <w:r>
              <w:rPr>
                <w:sz w:val="18"/>
              </w:rPr>
              <w:t>2,000</w:t>
            </w:r>
          </w:p>
        </w:tc>
        <w:tc>
          <w:tcPr>
            <w:tcW w:type="dxa" w:w="2381"/>
            <w:vAlign w:val="center"/>
          </w:tcPr>
          <w:p>
            <w:pPr>
              <w:spacing w:after="80" w:before="80" w:line="276" w:lineRule="auto"/>
            </w:pPr>
            <w:r>
              <w:rPr>
                <w:sz w:val="18"/>
              </w:rPr>
              <w:t>8,000</w:t>
            </w:r>
          </w:p>
        </w:tc>
      </w:tr>
      <w:tr>
        <w:trPr>
          <w:cantSplit/>
        </w:trPr>
        <w:tc>
          <w:tcPr>
            <w:tcW w:type="dxa" w:w="2381"/>
            <w:vAlign w:val="center"/>
          </w:tcPr>
          <w:p>
            <w:pPr>
              <w:spacing w:after="80" w:before="80" w:line="276" w:lineRule="auto"/>
            </w:pPr>
            <w:r>
              <w:rPr>
                <w:sz w:val="18"/>
              </w:rPr>
              <w:t>单笔有效交易额</w:t>
            </w:r>
          </w:p>
        </w:tc>
        <w:tc>
          <w:tcPr>
            <w:tcW w:type="dxa" w:w="2381"/>
            <w:vAlign w:val="center"/>
          </w:tcPr>
          <w:p>
            <w:pPr>
              <w:spacing w:after="80" w:before="80" w:line="276" w:lineRule="auto"/>
            </w:pPr>
            <w:r>
              <w:rPr>
                <w:sz w:val="18"/>
              </w:rPr>
              <w:t>300 元</w:t>
            </w:r>
          </w:p>
        </w:tc>
        <w:tc>
          <w:tcPr>
            <w:tcW w:type="dxa" w:w="2381"/>
            <w:vAlign w:val="center"/>
          </w:tcPr>
          <w:p>
            <w:pPr>
              <w:spacing w:after="80" w:before="80" w:line="276" w:lineRule="auto"/>
            </w:pPr>
            <w:r>
              <w:rPr>
                <w:sz w:val="18"/>
              </w:rPr>
              <w:t>350 元</w:t>
            </w:r>
          </w:p>
        </w:tc>
        <w:tc>
          <w:tcPr>
            <w:tcW w:type="dxa" w:w="2381"/>
            <w:vAlign w:val="center"/>
          </w:tcPr>
          <w:p>
            <w:pPr>
              <w:spacing w:after="80" w:before="80" w:line="276" w:lineRule="auto"/>
            </w:pPr>
            <w:r>
              <w:rPr>
                <w:sz w:val="18"/>
              </w:rPr>
              <w:t>400 元</w:t>
            </w:r>
          </w:p>
        </w:tc>
      </w:tr>
      <w:tr>
        <w:trPr>
          <w:cantSplit/>
        </w:trPr>
        <w:tc>
          <w:tcPr>
            <w:tcW w:type="dxa" w:w="2381"/>
            <w:vAlign w:val="center"/>
          </w:tcPr>
          <w:p>
            <w:pPr>
              <w:spacing w:after="80" w:before="80" w:line="276" w:lineRule="auto"/>
            </w:pPr>
            <w:r>
              <w:rPr>
                <w:sz w:val="18"/>
              </w:rPr>
              <w:t>平台净服务费率</w:t>
            </w:r>
          </w:p>
        </w:tc>
        <w:tc>
          <w:tcPr>
            <w:tcW w:type="dxa" w:w="2381"/>
            <w:vAlign w:val="center"/>
          </w:tcPr>
          <w:p>
            <w:pPr>
              <w:spacing w:after="80" w:before="80" w:line="276" w:lineRule="auto"/>
            </w:pPr>
            <w:r>
              <w:rPr>
                <w:sz w:val="18"/>
              </w:rPr>
              <w:t>5%</w:t>
            </w:r>
          </w:p>
        </w:tc>
        <w:tc>
          <w:tcPr>
            <w:tcW w:type="dxa" w:w="2381"/>
            <w:vAlign w:val="center"/>
          </w:tcPr>
          <w:p>
            <w:pPr>
              <w:spacing w:after="80" w:before="80" w:line="276" w:lineRule="auto"/>
            </w:pPr>
            <w:r>
              <w:rPr>
                <w:sz w:val="18"/>
              </w:rPr>
              <w:t>5%</w:t>
            </w:r>
          </w:p>
        </w:tc>
        <w:tc>
          <w:tcPr>
            <w:tcW w:type="dxa" w:w="2381"/>
            <w:vAlign w:val="center"/>
          </w:tcPr>
          <w:p>
            <w:pPr>
              <w:spacing w:after="80" w:before="80" w:line="276" w:lineRule="auto"/>
            </w:pPr>
            <w:r>
              <w:rPr>
                <w:sz w:val="18"/>
              </w:rPr>
              <w:t>5%</w:t>
            </w:r>
          </w:p>
        </w:tc>
      </w:tr>
      <w:tr>
        <w:trPr>
          <w:cantSplit/>
        </w:trPr>
        <w:tc>
          <w:tcPr>
            <w:tcW w:type="dxa" w:w="2381"/>
            <w:vAlign w:val="center"/>
          </w:tcPr>
          <w:p>
            <w:pPr>
              <w:spacing w:after="80" w:before="80" w:line="276" w:lineRule="auto"/>
            </w:pPr>
            <w:r>
              <w:rPr>
                <w:sz w:val="18"/>
              </w:rPr>
              <w:t>净服务费收入</w:t>
            </w:r>
          </w:p>
        </w:tc>
        <w:tc>
          <w:tcPr>
            <w:tcW w:type="dxa" w:w="2381"/>
            <w:vAlign w:val="center"/>
          </w:tcPr>
          <w:p>
            <w:pPr>
              <w:spacing w:after="80" w:before="80" w:line="276" w:lineRule="auto"/>
            </w:pPr>
            <w:r>
              <w:rPr>
                <w:sz w:val="18"/>
              </w:rPr>
              <w:t>0.60 万元</w:t>
            </w:r>
          </w:p>
        </w:tc>
        <w:tc>
          <w:tcPr>
            <w:tcW w:type="dxa" w:w="2381"/>
            <w:vAlign w:val="center"/>
          </w:tcPr>
          <w:p>
            <w:pPr>
              <w:spacing w:after="80" w:before="80" w:line="276" w:lineRule="auto"/>
            </w:pPr>
            <w:r>
              <w:rPr>
                <w:sz w:val="18"/>
              </w:rPr>
              <w:t>3.50 万元</w:t>
            </w:r>
          </w:p>
        </w:tc>
        <w:tc>
          <w:tcPr>
            <w:tcW w:type="dxa" w:w="2381"/>
            <w:vAlign w:val="center"/>
          </w:tcPr>
          <w:p>
            <w:pPr>
              <w:spacing w:after="80" w:before="80" w:line="276" w:lineRule="auto"/>
            </w:pPr>
            <w:r>
              <w:rPr>
                <w:sz w:val="18"/>
              </w:rPr>
              <w:t>16.00 万元</w:t>
            </w:r>
          </w:p>
        </w:tc>
      </w:tr>
      <w:tr>
        <w:trPr>
          <w:cantSplit/>
        </w:trPr>
        <w:tc>
          <w:tcPr>
            <w:tcW w:type="dxa" w:w="2381"/>
            <w:vAlign w:val="center"/>
          </w:tcPr>
          <w:p>
            <w:pPr>
              <w:spacing w:after="80" w:before="80" w:line="276" w:lineRule="auto"/>
            </w:pPr>
            <w:r>
              <w:rPr>
                <w:sz w:val="18"/>
              </w:rPr>
              <w:t>合计收入</w:t>
            </w:r>
          </w:p>
        </w:tc>
        <w:tc>
          <w:tcPr>
            <w:tcW w:type="dxa" w:w="2381"/>
            <w:vAlign w:val="center"/>
          </w:tcPr>
          <w:p>
            <w:pPr>
              <w:spacing w:after="80" w:before="80" w:line="276" w:lineRule="auto"/>
            </w:pPr>
            <w:r>
              <w:rPr>
                <w:sz w:val="18"/>
              </w:rPr>
              <w:t>12.12 万元</w:t>
            </w:r>
          </w:p>
        </w:tc>
        <w:tc>
          <w:tcPr>
            <w:tcW w:type="dxa" w:w="2381"/>
            <w:vAlign w:val="center"/>
          </w:tcPr>
          <w:p>
            <w:pPr>
              <w:spacing w:after="80" w:before="80" w:line="276" w:lineRule="auto"/>
            </w:pPr>
            <w:r>
              <w:rPr>
                <w:sz w:val="18"/>
              </w:rPr>
              <w:t>60.65 万元</w:t>
            </w:r>
          </w:p>
        </w:tc>
        <w:tc>
          <w:tcPr>
            <w:tcW w:type="dxa" w:w="2381"/>
            <w:vAlign w:val="center"/>
          </w:tcPr>
          <w:p>
            <w:pPr>
              <w:spacing w:after="80" w:before="80" w:line="276" w:lineRule="auto"/>
            </w:pPr>
            <w:r>
              <w:rPr>
                <w:sz w:val="18"/>
              </w:rPr>
              <w:t>187.00 万元</w:t>
            </w:r>
          </w:p>
        </w:tc>
      </w:tr>
    </w:tbl>
    <w:p>
      <w:pPr>
        <w:spacing w:after="0"/>
      </w:pPr>
    </w:p>
    <w:p>
      <w:r>
        <w:rPr>
          <w:b w:val="0"/>
        </w:rPr>
        <w:t>会员收入＝平均付费有效用户年×单位年净收入。机构收入＝付费服务当量×单位年净收入。服务费收入＝有效交易笔数×平均交易额×净服务费率。</w:t>
      </w:r>
    </w:p>
    <w:p>
      <w:r>
        <w:rPr>
          <w:b w:val="0"/>
        </w:rPr>
        <w:t>会员有效用户与年度活跃用户的比值分别约为 8.0%、8.75%、10.0%，是较有挑战的假设。它与第六章“同一激活队列付费转化率”的分母、时间口径不同，不能混用。若实测不支持，应下调收入，不以付费有效用户增长替代真实续费。</w:t>
      </w:r>
    </w:p>
    <w:p>
      <w:pPr>
        <w:pStyle w:val="Heading2"/>
      </w:pPr>
      <w:r>
        <w:t>9.3 成本与经营结果</w:t>
      </w:r>
    </w:p>
    <w:p>
      <w:r>
        <w:rPr>
          <w:b w:val="0"/>
        </w:rPr>
        <w:t>单位：万元。</w:t>
      </w:r>
    </w:p>
    <w:tbl>
      <w:tblPr>
        <w:tblStyle w:val="LightShading-Accent1"/>
        <w:tblW w:type="auto" w:w="0"/>
        <w:jc w:val="center"/>
        <w:tblLook w:firstColumn="1" w:firstRow="1" w:lastColumn="0" w:lastRow="0" w:noHBand="0" w:noVBand="1" w:val="04A0"/>
      </w:tblPr>
      <w:tblGrid>
        <w:gridCol w:w="2381"/>
        <w:gridCol w:w="2381"/>
        <w:gridCol w:w="2381"/>
        <w:gridCol w:w="2381"/>
      </w:tblGrid>
      <w:tr>
        <w:trPr>
          <w:cantSplit/>
          <w:tblHeader/>
        </w:trPr>
        <w:tc>
          <w:tcPr>
            <w:tcW w:type="dxa" w:w="2381"/>
            <w:vAlign w:val="center"/>
            <w:shd w:fill="214D43"/>
          </w:tcPr>
          <w:p>
            <w:pPr>
              <w:spacing w:after="80" w:before="80" w:line="276" w:lineRule="auto"/>
            </w:pPr>
            <w:r>
              <w:rPr>
                <w:b/>
                <w:color w:val="FFFFFF"/>
                <w:sz w:val="18"/>
              </w:rPr>
              <w:t>项目</w:t>
            </w:r>
          </w:p>
        </w:tc>
        <w:tc>
          <w:tcPr>
            <w:tcW w:type="dxa" w:w="2381"/>
            <w:vAlign w:val="center"/>
            <w:shd w:fill="214D43"/>
          </w:tcPr>
          <w:p>
            <w:pPr>
              <w:spacing w:after="80" w:before="80" w:line="276" w:lineRule="auto"/>
            </w:pPr>
            <w:r>
              <w:rPr>
                <w:b/>
                <w:color w:val="FFFFFF"/>
                <w:sz w:val="18"/>
              </w:rPr>
              <w:t>第一年</w:t>
            </w:r>
          </w:p>
        </w:tc>
        <w:tc>
          <w:tcPr>
            <w:tcW w:type="dxa" w:w="2381"/>
            <w:vAlign w:val="center"/>
            <w:shd w:fill="214D43"/>
          </w:tcPr>
          <w:p>
            <w:pPr>
              <w:spacing w:after="80" w:before="80" w:line="276" w:lineRule="auto"/>
            </w:pPr>
            <w:r>
              <w:rPr>
                <w:b/>
                <w:color w:val="FFFFFF"/>
                <w:sz w:val="18"/>
              </w:rPr>
              <w:t>第二年</w:t>
            </w:r>
          </w:p>
        </w:tc>
        <w:tc>
          <w:tcPr>
            <w:tcW w:type="dxa" w:w="2381"/>
            <w:vAlign w:val="center"/>
            <w:shd w:fill="214D43"/>
          </w:tcPr>
          <w:p>
            <w:pPr>
              <w:spacing w:after="80" w:before="80" w:line="276" w:lineRule="auto"/>
            </w:pPr>
            <w:r>
              <w:rPr>
                <w:b/>
                <w:color w:val="FFFFFF"/>
                <w:sz w:val="18"/>
              </w:rPr>
              <w:t>第三年</w:t>
            </w:r>
          </w:p>
        </w:tc>
      </w:tr>
      <w:tr>
        <w:trPr>
          <w:cantSplit/>
        </w:trPr>
        <w:tc>
          <w:tcPr>
            <w:tcW w:type="dxa" w:w="2381"/>
            <w:vAlign w:val="center"/>
          </w:tcPr>
          <w:p>
            <w:pPr>
              <w:spacing w:after="80" w:before="80" w:line="276" w:lineRule="auto"/>
            </w:pPr>
            <w:r>
              <w:rPr>
                <w:sz w:val="18"/>
              </w:rPr>
              <w:t>人员及稳定协作费用</w:t>
            </w:r>
          </w:p>
        </w:tc>
        <w:tc>
          <w:tcPr>
            <w:tcW w:type="dxa" w:w="2381"/>
            <w:vAlign w:val="center"/>
          </w:tcPr>
          <w:p>
            <w:pPr>
              <w:spacing w:after="80" w:before="80" w:line="276" w:lineRule="auto"/>
            </w:pPr>
            <w:r>
              <w:rPr>
                <w:sz w:val="18"/>
              </w:rPr>
              <w:t>34.00</w:t>
            </w:r>
          </w:p>
        </w:tc>
        <w:tc>
          <w:tcPr>
            <w:tcW w:type="dxa" w:w="2381"/>
            <w:vAlign w:val="center"/>
          </w:tcPr>
          <w:p>
            <w:pPr>
              <w:spacing w:after="80" w:before="80" w:line="276" w:lineRule="auto"/>
            </w:pPr>
            <w:r>
              <w:rPr>
                <w:sz w:val="18"/>
              </w:rPr>
              <w:t>52.00</w:t>
            </w:r>
          </w:p>
        </w:tc>
        <w:tc>
          <w:tcPr>
            <w:tcW w:type="dxa" w:w="2381"/>
            <w:vAlign w:val="center"/>
          </w:tcPr>
          <w:p>
            <w:pPr>
              <w:spacing w:after="80" w:before="80" w:line="276" w:lineRule="auto"/>
            </w:pPr>
            <w:r>
              <w:rPr>
                <w:sz w:val="18"/>
              </w:rPr>
              <w:t>78.00</w:t>
            </w:r>
          </w:p>
        </w:tc>
      </w:tr>
      <w:tr>
        <w:trPr>
          <w:cantSplit/>
        </w:trPr>
        <w:tc>
          <w:tcPr>
            <w:tcW w:type="dxa" w:w="2381"/>
            <w:vAlign w:val="center"/>
          </w:tcPr>
          <w:p>
            <w:pPr>
              <w:spacing w:after="80" w:before="80" w:line="276" w:lineRule="auto"/>
            </w:pPr>
            <w:r>
              <w:rPr>
                <w:sz w:val="18"/>
              </w:rPr>
              <w:t>内容核验与制作</w:t>
            </w:r>
          </w:p>
        </w:tc>
        <w:tc>
          <w:tcPr>
            <w:tcW w:type="dxa" w:w="2381"/>
            <w:vAlign w:val="center"/>
          </w:tcPr>
          <w:p>
            <w:pPr>
              <w:spacing w:after="80" w:before="80" w:line="276" w:lineRule="auto"/>
            </w:pPr>
            <w:r>
              <w:rPr>
                <w:sz w:val="18"/>
              </w:rPr>
              <w:t>6.00</w:t>
            </w:r>
          </w:p>
        </w:tc>
        <w:tc>
          <w:tcPr>
            <w:tcW w:type="dxa" w:w="2381"/>
            <w:vAlign w:val="center"/>
          </w:tcPr>
          <w:p>
            <w:pPr>
              <w:spacing w:after="80" w:before="80" w:line="276" w:lineRule="auto"/>
            </w:pPr>
            <w:r>
              <w:rPr>
                <w:sz w:val="18"/>
              </w:rPr>
              <w:t>10.00</w:t>
            </w:r>
          </w:p>
        </w:tc>
        <w:tc>
          <w:tcPr>
            <w:tcW w:type="dxa" w:w="2381"/>
            <w:vAlign w:val="center"/>
          </w:tcPr>
          <w:p>
            <w:pPr>
              <w:spacing w:after="80" w:before="80" w:line="276" w:lineRule="auto"/>
            </w:pPr>
            <w:r>
              <w:rPr>
                <w:sz w:val="18"/>
              </w:rPr>
              <w:t>16.00</w:t>
            </w:r>
          </w:p>
        </w:tc>
      </w:tr>
      <w:tr>
        <w:trPr>
          <w:cantSplit/>
        </w:trPr>
        <w:tc>
          <w:tcPr>
            <w:tcW w:type="dxa" w:w="2381"/>
            <w:vAlign w:val="center"/>
          </w:tcPr>
          <w:p>
            <w:pPr>
              <w:spacing w:after="80" w:before="80" w:line="276" w:lineRule="auto"/>
            </w:pPr>
            <w:r>
              <w:rPr>
                <w:sz w:val="18"/>
              </w:rPr>
              <w:t>增长与试点费用</w:t>
            </w:r>
          </w:p>
        </w:tc>
        <w:tc>
          <w:tcPr>
            <w:tcW w:type="dxa" w:w="2381"/>
            <w:vAlign w:val="center"/>
          </w:tcPr>
          <w:p>
            <w:pPr>
              <w:spacing w:after="80" w:before="80" w:line="276" w:lineRule="auto"/>
            </w:pPr>
            <w:r>
              <w:rPr>
                <w:sz w:val="18"/>
              </w:rPr>
              <w:t>4.00</w:t>
            </w:r>
          </w:p>
        </w:tc>
        <w:tc>
          <w:tcPr>
            <w:tcW w:type="dxa" w:w="2381"/>
            <w:vAlign w:val="center"/>
          </w:tcPr>
          <w:p>
            <w:pPr>
              <w:spacing w:after="80" w:before="80" w:line="276" w:lineRule="auto"/>
            </w:pPr>
            <w:r>
              <w:rPr>
                <w:sz w:val="18"/>
              </w:rPr>
              <w:t>7.00</w:t>
            </w:r>
          </w:p>
        </w:tc>
        <w:tc>
          <w:tcPr>
            <w:tcW w:type="dxa" w:w="2381"/>
            <w:vAlign w:val="center"/>
          </w:tcPr>
          <w:p>
            <w:pPr>
              <w:spacing w:after="80" w:before="80" w:line="276" w:lineRule="auto"/>
            </w:pPr>
            <w:r>
              <w:rPr>
                <w:sz w:val="18"/>
              </w:rPr>
              <w:t>8.00</w:t>
            </w:r>
          </w:p>
        </w:tc>
      </w:tr>
      <w:tr>
        <w:trPr>
          <w:cantSplit/>
        </w:trPr>
        <w:tc>
          <w:tcPr>
            <w:tcW w:type="dxa" w:w="2381"/>
            <w:vAlign w:val="center"/>
          </w:tcPr>
          <w:p>
            <w:pPr>
              <w:spacing w:after="80" w:before="80" w:line="276" w:lineRule="auto"/>
            </w:pPr>
            <w:r>
              <w:rPr>
                <w:sz w:val="18"/>
              </w:rPr>
              <w:t>行政、合同及合规</w:t>
            </w:r>
          </w:p>
        </w:tc>
        <w:tc>
          <w:tcPr>
            <w:tcW w:type="dxa" w:w="2381"/>
            <w:vAlign w:val="center"/>
          </w:tcPr>
          <w:p>
            <w:pPr>
              <w:spacing w:after="80" w:before="80" w:line="276" w:lineRule="auto"/>
            </w:pPr>
            <w:r>
              <w:rPr>
                <w:sz w:val="18"/>
              </w:rPr>
              <w:t>4.00</w:t>
            </w:r>
          </w:p>
        </w:tc>
        <w:tc>
          <w:tcPr>
            <w:tcW w:type="dxa" w:w="2381"/>
            <w:vAlign w:val="center"/>
          </w:tcPr>
          <w:p>
            <w:pPr>
              <w:spacing w:after="80" w:before="80" w:line="276" w:lineRule="auto"/>
            </w:pPr>
            <w:r>
              <w:rPr>
                <w:sz w:val="18"/>
              </w:rPr>
              <w:t>5.00</w:t>
            </w:r>
          </w:p>
        </w:tc>
        <w:tc>
          <w:tcPr>
            <w:tcW w:type="dxa" w:w="2381"/>
            <w:vAlign w:val="center"/>
          </w:tcPr>
          <w:p>
            <w:pPr>
              <w:spacing w:after="80" w:before="80" w:line="276" w:lineRule="auto"/>
            </w:pPr>
            <w:r>
              <w:rPr>
                <w:sz w:val="18"/>
              </w:rPr>
              <w:t>7.00</w:t>
            </w:r>
          </w:p>
        </w:tc>
      </w:tr>
      <w:tr>
        <w:trPr>
          <w:cantSplit/>
        </w:trPr>
        <w:tc>
          <w:tcPr>
            <w:tcW w:type="dxa" w:w="2381"/>
            <w:vAlign w:val="center"/>
          </w:tcPr>
          <w:p>
            <w:pPr>
              <w:spacing w:after="80" w:before="80" w:line="276" w:lineRule="auto"/>
            </w:pPr>
            <w:r>
              <w:rPr>
                <w:sz w:val="18"/>
              </w:rPr>
              <w:t>基础设施、外部技术及交付</w:t>
            </w:r>
          </w:p>
        </w:tc>
        <w:tc>
          <w:tcPr>
            <w:tcW w:type="dxa" w:w="2381"/>
            <w:vAlign w:val="center"/>
          </w:tcPr>
          <w:p>
            <w:pPr>
              <w:spacing w:after="80" w:before="80" w:line="276" w:lineRule="auto"/>
            </w:pPr>
            <w:r>
              <w:rPr>
                <w:sz w:val="18"/>
              </w:rPr>
              <w:t>10.00</w:t>
            </w:r>
          </w:p>
        </w:tc>
        <w:tc>
          <w:tcPr>
            <w:tcW w:type="dxa" w:w="2381"/>
            <w:vAlign w:val="center"/>
          </w:tcPr>
          <w:p>
            <w:pPr>
              <w:spacing w:after="80" w:before="80" w:line="276" w:lineRule="auto"/>
            </w:pPr>
            <w:r>
              <w:rPr>
                <w:sz w:val="18"/>
              </w:rPr>
              <w:t>21.00</w:t>
            </w:r>
          </w:p>
        </w:tc>
        <w:tc>
          <w:tcPr>
            <w:tcW w:type="dxa" w:w="2381"/>
            <w:vAlign w:val="center"/>
          </w:tcPr>
          <w:p>
            <w:pPr>
              <w:spacing w:after="80" w:before="80" w:line="276" w:lineRule="auto"/>
            </w:pPr>
            <w:r>
              <w:rPr>
                <w:sz w:val="18"/>
              </w:rPr>
              <w:t>41.00</w:t>
            </w:r>
          </w:p>
        </w:tc>
      </w:tr>
      <w:tr>
        <w:trPr>
          <w:cantSplit/>
        </w:trPr>
        <w:tc>
          <w:tcPr>
            <w:tcW w:type="dxa" w:w="2381"/>
            <w:vAlign w:val="center"/>
          </w:tcPr>
          <w:p>
            <w:pPr>
              <w:spacing w:after="80" w:before="80" w:line="276" w:lineRule="auto"/>
            </w:pPr>
            <w:r>
              <w:rPr>
                <w:sz w:val="18"/>
              </w:rPr>
              <w:t>总经营成本</w:t>
            </w:r>
          </w:p>
        </w:tc>
        <w:tc>
          <w:tcPr>
            <w:tcW w:type="dxa" w:w="2381"/>
            <w:vAlign w:val="center"/>
          </w:tcPr>
          <w:p>
            <w:pPr>
              <w:spacing w:after="80" w:before="80" w:line="276" w:lineRule="auto"/>
            </w:pPr>
            <w:r>
              <w:rPr>
                <w:sz w:val="18"/>
              </w:rPr>
              <w:t>58.00</w:t>
            </w:r>
          </w:p>
        </w:tc>
        <w:tc>
          <w:tcPr>
            <w:tcW w:type="dxa" w:w="2381"/>
            <w:vAlign w:val="center"/>
          </w:tcPr>
          <w:p>
            <w:pPr>
              <w:spacing w:after="80" w:before="80" w:line="276" w:lineRule="auto"/>
            </w:pPr>
            <w:r>
              <w:rPr>
                <w:sz w:val="18"/>
              </w:rPr>
              <w:t>95.00</w:t>
            </w:r>
          </w:p>
        </w:tc>
        <w:tc>
          <w:tcPr>
            <w:tcW w:type="dxa" w:w="2381"/>
            <w:vAlign w:val="center"/>
          </w:tcPr>
          <w:p>
            <w:pPr>
              <w:spacing w:after="80" w:before="80" w:line="276" w:lineRule="auto"/>
            </w:pPr>
            <w:r>
              <w:rPr>
                <w:sz w:val="18"/>
              </w:rPr>
              <w:t>150.00</w:t>
            </w:r>
          </w:p>
        </w:tc>
      </w:tr>
      <w:tr>
        <w:trPr>
          <w:cantSplit/>
        </w:trPr>
        <w:tc>
          <w:tcPr>
            <w:tcW w:type="dxa" w:w="2381"/>
            <w:vAlign w:val="center"/>
          </w:tcPr>
          <w:p>
            <w:pPr>
              <w:spacing w:after="80" w:before="80" w:line="276" w:lineRule="auto"/>
            </w:pPr>
            <w:r>
              <w:rPr>
                <w:sz w:val="18"/>
              </w:rPr>
              <w:t>总收入</w:t>
            </w:r>
          </w:p>
        </w:tc>
        <w:tc>
          <w:tcPr>
            <w:tcW w:type="dxa" w:w="2381"/>
            <w:vAlign w:val="center"/>
          </w:tcPr>
          <w:p>
            <w:pPr>
              <w:spacing w:after="80" w:before="80" w:line="276" w:lineRule="auto"/>
            </w:pPr>
            <w:r>
              <w:rPr>
                <w:sz w:val="18"/>
              </w:rPr>
              <w:t>12.12</w:t>
            </w:r>
          </w:p>
        </w:tc>
        <w:tc>
          <w:tcPr>
            <w:tcW w:type="dxa" w:w="2381"/>
            <w:vAlign w:val="center"/>
          </w:tcPr>
          <w:p>
            <w:pPr>
              <w:spacing w:after="80" w:before="80" w:line="276" w:lineRule="auto"/>
            </w:pPr>
            <w:r>
              <w:rPr>
                <w:sz w:val="18"/>
              </w:rPr>
              <w:t>60.65</w:t>
            </w:r>
          </w:p>
        </w:tc>
        <w:tc>
          <w:tcPr>
            <w:tcW w:type="dxa" w:w="2381"/>
            <w:vAlign w:val="center"/>
          </w:tcPr>
          <w:p>
            <w:pPr>
              <w:spacing w:after="80" w:before="80" w:line="276" w:lineRule="auto"/>
            </w:pPr>
            <w:r>
              <w:rPr>
                <w:sz w:val="18"/>
              </w:rPr>
              <w:t>187.00</w:t>
            </w:r>
          </w:p>
        </w:tc>
      </w:tr>
      <w:tr>
        <w:trPr>
          <w:cantSplit/>
        </w:trPr>
        <w:tc>
          <w:tcPr>
            <w:tcW w:type="dxa" w:w="2381"/>
            <w:vAlign w:val="center"/>
          </w:tcPr>
          <w:p>
            <w:pPr>
              <w:spacing w:after="80" w:before="80" w:line="276" w:lineRule="auto"/>
            </w:pPr>
            <w:r>
              <w:rPr>
                <w:sz w:val="18"/>
              </w:rPr>
              <w:t>经营结余</w:t>
            </w:r>
          </w:p>
        </w:tc>
        <w:tc>
          <w:tcPr>
            <w:tcW w:type="dxa" w:w="2381"/>
            <w:vAlign w:val="center"/>
          </w:tcPr>
          <w:p>
            <w:pPr>
              <w:spacing w:after="80" w:before="80" w:line="276" w:lineRule="auto"/>
            </w:pPr>
            <w:r>
              <w:rPr>
                <w:sz w:val="18"/>
              </w:rPr>
              <w:t>-45.88</w:t>
            </w:r>
          </w:p>
        </w:tc>
        <w:tc>
          <w:tcPr>
            <w:tcW w:type="dxa" w:w="2381"/>
            <w:vAlign w:val="center"/>
          </w:tcPr>
          <w:p>
            <w:pPr>
              <w:spacing w:after="80" w:before="80" w:line="276" w:lineRule="auto"/>
            </w:pPr>
            <w:r>
              <w:rPr>
                <w:sz w:val="18"/>
              </w:rPr>
              <w:t>-34.35</w:t>
            </w:r>
          </w:p>
        </w:tc>
        <w:tc>
          <w:tcPr>
            <w:tcW w:type="dxa" w:w="2381"/>
            <w:vAlign w:val="center"/>
          </w:tcPr>
          <w:p>
            <w:pPr>
              <w:spacing w:after="80" w:before="80" w:line="276" w:lineRule="auto"/>
            </w:pPr>
            <w:r>
              <w:rPr>
                <w:sz w:val="18"/>
              </w:rPr>
              <w:t>37.00</w:t>
            </w:r>
          </w:p>
        </w:tc>
      </w:tr>
    </w:tbl>
    <w:p>
      <w:pPr>
        <w:spacing w:after="0"/>
      </w:pPr>
    </w:p>
    <w:p>
      <w:r>
        <w:rPr>
          <w:b w:val="0"/>
        </w:rPr>
        <w:t>初期人员预算采用精简组织和部分合作制，需覆盖实际工资、用工附加和合作费用。若本地招聘报价高于预算，应减小团队或增加资金，而不是省略必要人工成本。基础设施、外部技术及交付包括免费用户使用、AI、存储、流量、短信、地图以及服务交付支出，不能只计算付费账号。</w:t>
      </w:r>
    </w:p>
    <w:p>
      <w:r>
        <w:rPr>
          <w:b w:val="0"/>
        </w:rPr>
        <w:t>第一、二年合计经营缺口为 80.23 万元。第三年在达到用户与机构目标的情况下转为经营结余；这是一种可行条件，不是盈利承诺。</w:t>
      </w:r>
    </w:p>
    <w:p>
      <w:pPr>
        <w:pStyle w:val="Heading2"/>
      </w:pPr>
      <w:r>
        <w:t>9.4 单位经济与盈亏平衡</w:t>
      </w:r>
    </w:p>
    <w:p>
      <w:r>
        <w:rPr>
          <w:b w:val="0"/>
        </w:rPr>
        <w:t>以年度净收入 99 元、单个付费有效用户增量技术服务成本暂按 20 元测算，单个会员年增量贡献为 79 元。该贡献尚需承担免费用户、固定研发和内容支出，不直接等于利润。</w:t>
      </w:r>
    </w:p>
    <w:p>
      <w:r>
        <w:rPr>
          <w:b w:val="0"/>
        </w:rPr>
        <w:t>如付费获客成本为 60 元，首年新增付费用户的剩余贡献仅为 19 元，说明增长必须依靠复用、续费和较低的边际运营成本。若成本为 120 元，首年贡献不足以覆盖获客，必须暂停扩量并检验续费；不能仅靠更乐观的终身价值估算继续投放。</w:t>
      </w:r>
    </w:p>
    <w:p>
      <w:r>
        <w:rPr>
          <w:b w:val="0"/>
        </w:rPr>
        <w:t>第三年总收入比总经营成本高 37 万元。若机构和服务费共 88 万元收入保持成立，按第三年总成本 150 万元静态倒算，会员需贡献约 62 万元，即约 6,263 个付费有效用户年。该数未随用户量变化调整成本，仅用于看清盈亏条件，不是精确盈亏平衡预测。</w:t>
      </w:r>
    </w:p>
    <w:p>
      <w:pPr>
        <w:pStyle w:val="Heading2"/>
      </w:pPr>
      <w:r>
        <w:t>9.5 敏感性与下行情景</w:t>
      </w:r>
    </w:p>
    <w:p>
      <w:r>
        <w:rPr>
          <w:b w:val="0"/>
        </w:rPr>
        <w:t>若第三年各项收入仅达到基准的 70%，总收入为 130.90 万元；若成本短期维持 150 万元，经营结余为 -19.10 万元。若仅会员收入比基准低 30%，其他收入达标，则第三年经营结余为 7.30 万元。</w:t>
      </w:r>
    </w:p>
    <w:p>
      <w:r>
        <w:rPr>
          <w:b w:val="0"/>
        </w:rPr>
        <w:t>若机构和合作服务均未形成收入，而第三年仍达到会员收入目标，在成本不变时仍亏损 51 万元。这意味着机构与合作收入不是可以随意填写的附加项；必须尽早验证，否则按会员业务缩减成本和融资计划。</w:t>
      </w:r>
    </w:p>
    <w:p>
      <w:r>
        <w:rPr>
          <w:b w:val="0"/>
        </w:rPr>
        <w:t>上线前应重点测量每活跃用户技术成本、图片与视频存储、会员续费、机构交付工时和退款率。每月根据实测预算决定下一阶段投入。</w:t>
      </w:r>
    </w:p>
    <w:p>
      <w:pPr>
        <w:pStyle w:val="Heading1"/>
      </w:pPr>
      <w:r>
        <w:t>十、资金需求与使用计划</w:t>
      </w:r>
    </w:p>
    <w:p>
      <w:pPr>
        <w:pStyle w:val="Heading2"/>
      </w:pPr>
      <w:r>
        <w:t>10.1 资金目标</w:t>
      </w:r>
    </w:p>
    <w:p>
      <w:r>
        <w:rPr>
          <w:b w:val="0"/>
        </w:rPr>
        <w:t>拟筹措启动资金 100 万元，用于产品、内容与南宁试点运营。资金可由创始团队投入、合法融资和已明确落实的其他来源组合，具体结构与股权比例待实际谈判，不预设估值或融资已完成。</w:t>
      </w:r>
    </w:p>
    <w:p>
      <w:r>
        <w:rPr>
          <w:b w:val="0"/>
        </w:rPr>
        <w:t>本计划不将比赛获奖、贷款审批或政府补贴视为确定资金。比赛通知中的奖励具有资格及落地条件，应在实际获得并符合领取要求后计入。</w:t>
      </w:r>
    </w:p>
    <w:p>
      <w:pPr>
        <w:pStyle w:val="Heading2"/>
      </w:pPr>
      <w:r>
        <w:t>10.2 首阶段预算</w:t>
      </w:r>
    </w:p>
    <w:tbl>
      <w:tblPr>
        <w:tblStyle w:val="LightShading-Accent1"/>
        <w:tblW w:type="auto" w:w="0"/>
        <w:jc w:val="center"/>
        <w:tblLook w:firstColumn="1" w:firstRow="1" w:lastColumn="0" w:lastRow="0" w:noHBand="0" w:noVBand="1" w:val="04A0"/>
      </w:tblPr>
      <w:tblGrid>
        <w:gridCol w:w="3175"/>
        <w:gridCol w:w="3175"/>
        <w:gridCol w:w="3175"/>
      </w:tblGrid>
      <w:tr>
        <w:trPr>
          <w:cantSplit/>
          <w:tblHeader/>
        </w:trPr>
        <w:tc>
          <w:tcPr>
            <w:tcW w:type="dxa" w:w="3175"/>
            <w:vAlign w:val="center"/>
            <w:shd w:fill="214D43"/>
          </w:tcPr>
          <w:p>
            <w:pPr>
              <w:spacing w:after="80" w:before="80" w:line="276" w:lineRule="auto"/>
            </w:pPr>
            <w:r>
              <w:rPr>
                <w:b/>
                <w:color w:val="FFFFFF"/>
                <w:sz w:val="18"/>
              </w:rPr>
              <w:t>用途</w:t>
            </w:r>
          </w:p>
        </w:tc>
        <w:tc>
          <w:tcPr>
            <w:tcW w:type="dxa" w:w="3175"/>
            <w:vAlign w:val="center"/>
            <w:shd w:fill="214D43"/>
          </w:tcPr>
          <w:p>
            <w:pPr>
              <w:spacing w:after="80" w:before="80" w:line="276" w:lineRule="auto"/>
            </w:pPr>
            <w:r>
              <w:rPr>
                <w:b/>
                <w:color w:val="FFFFFF"/>
                <w:sz w:val="18"/>
              </w:rPr>
              <w:t>金额</w:t>
            </w:r>
          </w:p>
        </w:tc>
        <w:tc>
          <w:tcPr>
            <w:tcW w:type="dxa" w:w="3175"/>
            <w:vAlign w:val="center"/>
            <w:shd w:fill="214D43"/>
          </w:tcPr>
          <w:p>
            <w:pPr>
              <w:spacing w:after="80" w:before="80" w:line="276" w:lineRule="auto"/>
            </w:pPr>
            <w:r>
              <w:rPr>
                <w:b/>
                <w:color w:val="FFFFFF"/>
                <w:sz w:val="18"/>
              </w:rPr>
              <w:t>预期产出</w:t>
            </w:r>
          </w:p>
        </w:tc>
      </w:tr>
      <w:tr>
        <w:trPr>
          <w:cantSplit/>
        </w:trPr>
        <w:tc>
          <w:tcPr>
            <w:tcW w:type="dxa" w:w="3175"/>
            <w:vAlign w:val="center"/>
          </w:tcPr>
          <w:p>
            <w:pPr>
              <w:spacing w:after="80" w:before="80" w:line="276" w:lineRule="auto"/>
            </w:pPr>
            <w:r>
              <w:rPr>
                <w:sz w:val="18"/>
              </w:rPr>
              <w:t>人员与稳定技术协作</w:t>
            </w:r>
          </w:p>
        </w:tc>
        <w:tc>
          <w:tcPr>
            <w:tcW w:type="dxa" w:w="3175"/>
            <w:vAlign w:val="center"/>
          </w:tcPr>
          <w:p>
            <w:pPr>
              <w:spacing w:after="80" w:before="80" w:line="276" w:lineRule="auto"/>
            </w:pPr>
            <w:r>
              <w:rPr>
                <w:sz w:val="18"/>
              </w:rPr>
              <w:t>34 万元</w:t>
            </w:r>
          </w:p>
        </w:tc>
        <w:tc>
          <w:tcPr>
            <w:tcW w:type="dxa" w:w="3175"/>
            <w:vAlign w:val="center"/>
          </w:tcPr>
          <w:p>
            <w:pPr>
              <w:spacing w:after="80" w:before="80" w:line="276" w:lineRule="auto"/>
            </w:pPr>
            <w:r>
              <w:rPr>
                <w:sz w:val="18"/>
              </w:rPr>
              <w:t>核心功能完善、真实设备质量和日常运营</w:t>
            </w:r>
          </w:p>
        </w:tc>
      </w:tr>
      <w:tr>
        <w:trPr>
          <w:cantSplit/>
        </w:trPr>
        <w:tc>
          <w:tcPr>
            <w:tcW w:type="dxa" w:w="3175"/>
            <w:vAlign w:val="center"/>
          </w:tcPr>
          <w:p>
            <w:pPr>
              <w:spacing w:after="80" w:before="80" w:line="276" w:lineRule="auto"/>
            </w:pPr>
            <w:r>
              <w:rPr>
                <w:sz w:val="18"/>
              </w:rPr>
              <w:t>内容核验与制作</w:t>
            </w:r>
          </w:p>
        </w:tc>
        <w:tc>
          <w:tcPr>
            <w:tcW w:type="dxa" w:w="3175"/>
            <w:vAlign w:val="center"/>
          </w:tcPr>
          <w:p>
            <w:pPr>
              <w:spacing w:after="80" w:before="80" w:line="276" w:lineRule="auto"/>
            </w:pPr>
            <w:r>
              <w:rPr>
                <w:sz w:val="18"/>
              </w:rPr>
              <w:t>6 万元</w:t>
            </w:r>
          </w:p>
        </w:tc>
        <w:tc>
          <w:tcPr>
            <w:tcW w:type="dxa" w:w="3175"/>
            <w:vAlign w:val="center"/>
          </w:tcPr>
          <w:p>
            <w:pPr>
              <w:spacing w:after="80" w:before="80" w:line="276" w:lineRule="auto"/>
            </w:pPr>
            <w:r>
              <w:rPr>
                <w:sz w:val="18"/>
              </w:rPr>
              <w:t>南宁及周边样板路线、版本维护和合法素材</w:t>
            </w:r>
          </w:p>
        </w:tc>
      </w:tr>
      <w:tr>
        <w:trPr>
          <w:cantSplit/>
        </w:trPr>
        <w:tc>
          <w:tcPr>
            <w:tcW w:type="dxa" w:w="3175"/>
            <w:vAlign w:val="center"/>
          </w:tcPr>
          <w:p>
            <w:pPr>
              <w:spacing w:after="80" w:before="80" w:line="276" w:lineRule="auto"/>
            </w:pPr>
            <w:r>
              <w:rPr>
                <w:sz w:val="18"/>
              </w:rPr>
              <w:t>增长与机构试点</w:t>
            </w:r>
          </w:p>
        </w:tc>
        <w:tc>
          <w:tcPr>
            <w:tcW w:type="dxa" w:w="3175"/>
            <w:vAlign w:val="center"/>
          </w:tcPr>
          <w:p>
            <w:pPr>
              <w:spacing w:after="80" w:before="80" w:line="276" w:lineRule="auto"/>
            </w:pPr>
            <w:r>
              <w:rPr>
                <w:sz w:val="18"/>
              </w:rPr>
              <w:t>4 万元</w:t>
            </w:r>
          </w:p>
        </w:tc>
        <w:tc>
          <w:tcPr>
            <w:tcW w:type="dxa" w:w="3175"/>
            <w:vAlign w:val="center"/>
          </w:tcPr>
          <w:p>
            <w:pPr>
              <w:spacing w:after="80" w:before="80" w:line="276" w:lineRule="auto"/>
            </w:pPr>
            <w:r>
              <w:rPr>
                <w:sz w:val="18"/>
              </w:rPr>
              <w:t>可追踪试用、付费测试和首批机构交付</w:t>
            </w:r>
          </w:p>
        </w:tc>
      </w:tr>
      <w:tr>
        <w:trPr>
          <w:cantSplit/>
        </w:trPr>
        <w:tc>
          <w:tcPr>
            <w:tcW w:type="dxa" w:w="3175"/>
            <w:vAlign w:val="center"/>
          </w:tcPr>
          <w:p>
            <w:pPr>
              <w:spacing w:after="80" w:before="80" w:line="276" w:lineRule="auto"/>
            </w:pPr>
            <w:r>
              <w:rPr>
                <w:sz w:val="18"/>
              </w:rPr>
              <w:t>行政与合规</w:t>
            </w:r>
          </w:p>
        </w:tc>
        <w:tc>
          <w:tcPr>
            <w:tcW w:type="dxa" w:w="3175"/>
            <w:vAlign w:val="center"/>
          </w:tcPr>
          <w:p>
            <w:pPr>
              <w:spacing w:after="80" w:before="80" w:line="276" w:lineRule="auto"/>
            </w:pPr>
            <w:r>
              <w:rPr>
                <w:sz w:val="18"/>
              </w:rPr>
              <w:t>4 万元</w:t>
            </w:r>
          </w:p>
        </w:tc>
        <w:tc>
          <w:tcPr>
            <w:tcW w:type="dxa" w:w="3175"/>
            <w:vAlign w:val="center"/>
          </w:tcPr>
          <w:p>
            <w:pPr>
              <w:spacing w:after="80" w:before="80" w:line="276" w:lineRule="auto"/>
            </w:pPr>
            <w:r>
              <w:rPr>
                <w:sz w:val="18"/>
              </w:rPr>
              <w:t>主体及合同、隐私与发布核查</w:t>
            </w:r>
          </w:p>
        </w:tc>
      </w:tr>
      <w:tr>
        <w:trPr>
          <w:cantSplit/>
        </w:trPr>
        <w:tc>
          <w:tcPr>
            <w:tcW w:type="dxa" w:w="3175"/>
            <w:vAlign w:val="center"/>
          </w:tcPr>
          <w:p>
            <w:pPr>
              <w:spacing w:after="80" w:before="80" w:line="276" w:lineRule="auto"/>
            </w:pPr>
            <w:r>
              <w:rPr>
                <w:sz w:val="18"/>
              </w:rPr>
              <w:t>基础设施与服务交付</w:t>
            </w:r>
          </w:p>
        </w:tc>
        <w:tc>
          <w:tcPr>
            <w:tcW w:type="dxa" w:w="3175"/>
            <w:vAlign w:val="center"/>
          </w:tcPr>
          <w:p>
            <w:pPr>
              <w:spacing w:after="80" w:before="80" w:line="276" w:lineRule="auto"/>
            </w:pPr>
            <w:r>
              <w:rPr>
                <w:sz w:val="18"/>
              </w:rPr>
              <w:t>10 万元</w:t>
            </w:r>
          </w:p>
        </w:tc>
        <w:tc>
          <w:tcPr>
            <w:tcW w:type="dxa" w:w="3175"/>
            <w:vAlign w:val="center"/>
          </w:tcPr>
          <w:p>
            <w:pPr>
              <w:spacing w:after="80" w:before="80" w:line="276" w:lineRule="auto"/>
            </w:pPr>
            <w:r>
              <w:rPr>
                <w:sz w:val="18"/>
              </w:rPr>
              <w:t>数据、存储、AI 等运行和交付能力</w:t>
            </w:r>
          </w:p>
        </w:tc>
      </w:tr>
      <w:tr>
        <w:trPr>
          <w:cantSplit/>
        </w:trPr>
        <w:tc>
          <w:tcPr>
            <w:tcW w:type="dxa" w:w="3175"/>
            <w:vAlign w:val="center"/>
          </w:tcPr>
          <w:p>
            <w:pPr>
              <w:spacing w:after="80" w:before="80" w:line="276" w:lineRule="auto"/>
            </w:pPr>
            <w:r>
              <w:rPr>
                <w:sz w:val="18"/>
              </w:rPr>
              <w:t>后续运营及风险储备</w:t>
            </w:r>
          </w:p>
        </w:tc>
        <w:tc>
          <w:tcPr>
            <w:tcW w:type="dxa" w:w="3175"/>
            <w:vAlign w:val="center"/>
          </w:tcPr>
          <w:p>
            <w:pPr>
              <w:spacing w:after="80" w:before="80" w:line="276" w:lineRule="auto"/>
            </w:pPr>
            <w:r>
              <w:rPr>
                <w:sz w:val="18"/>
              </w:rPr>
              <w:t>42 万元</w:t>
            </w:r>
          </w:p>
        </w:tc>
        <w:tc>
          <w:tcPr>
            <w:tcW w:type="dxa" w:w="3175"/>
            <w:vAlign w:val="center"/>
          </w:tcPr>
          <w:p>
            <w:pPr>
              <w:spacing w:after="80" w:before="80" w:line="276" w:lineRule="auto"/>
            </w:pPr>
            <w:r>
              <w:rPr>
                <w:sz w:val="18"/>
              </w:rPr>
              <w:t>支撑第二年投入和经营波动</w:t>
            </w:r>
          </w:p>
        </w:tc>
      </w:tr>
      <w:tr>
        <w:trPr>
          <w:cantSplit/>
        </w:trPr>
        <w:tc>
          <w:tcPr>
            <w:tcW w:type="dxa" w:w="3175"/>
            <w:vAlign w:val="center"/>
          </w:tcPr>
          <w:p>
            <w:pPr>
              <w:spacing w:after="80" w:before="80" w:line="276" w:lineRule="auto"/>
            </w:pPr>
            <w:r>
              <w:rPr>
                <w:sz w:val="18"/>
              </w:rPr>
              <w:t>合计</w:t>
            </w:r>
          </w:p>
        </w:tc>
        <w:tc>
          <w:tcPr>
            <w:tcW w:type="dxa" w:w="3175"/>
            <w:vAlign w:val="center"/>
          </w:tcPr>
          <w:p>
            <w:pPr>
              <w:spacing w:after="80" w:before="80" w:line="276" w:lineRule="auto"/>
            </w:pPr>
            <w:r>
              <w:rPr>
                <w:sz w:val="18"/>
              </w:rPr>
              <w:t>100 万元</w:t>
            </w:r>
          </w:p>
        </w:tc>
        <w:tc>
          <w:tcPr>
            <w:tcW w:type="dxa" w:w="3175"/>
            <w:vAlign w:val="center"/>
          </w:tcPr>
          <w:p>
            <w:pPr>
              <w:spacing w:after="80" w:before="80" w:line="276" w:lineRule="auto"/>
            </w:pPr>
            <w:r>
              <w:rPr>
                <w:sz w:val="18"/>
              </w:rPr>
              <w:t>分阶段使用，避免提前扩张</w:t>
            </w:r>
          </w:p>
        </w:tc>
      </w:tr>
    </w:tbl>
    <w:p>
      <w:pPr>
        <w:spacing w:after="0"/>
      </w:pPr>
    </w:p>
    <w:p>
      <w:r>
        <w:rPr>
          <w:b w:val="0"/>
        </w:rPr>
        <w:t>前五项对应第一年 58 万元经营预算。42 万元为初始预算保留，并非在支付第一年费用后的最终现金余额；实际余额还取决于收入到账和支出时点。</w:t>
      </w:r>
    </w:p>
    <w:p>
      <w:pPr>
        <w:pStyle w:val="Heading2"/>
      </w:pPr>
      <w:r>
        <w:t>10.3 投入节奏</w:t>
      </w:r>
    </w:p>
    <w:p>
      <w:r>
        <w:rPr>
          <w:b w:val="0"/>
        </w:rPr>
        <w:t>拟按“30 万元启动、30 万元复验、40 万元扩展及储备”设置内部投入上限。启动阶段完成真实用户闭环和生产发布前核验；复验阶段形成复用数据、实际付费和机构试点；扩展阶段需有可接受的获客、技术成本和续费证据。</w:t>
      </w:r>
    </w:p>
    <w:p>
      <w:r>
        <w:rPr>
          <w:b w:val="0"/>
        </w:rPr>
        <w:t>按基准经营结余简单推算，100 万元在两年经营缺口后剩余 19.77 万元，但这未考虑资本性支出、税务和收付款错配，不能据此承诺两年资金绝对充足。拟将未来 6 个月必要支出作为预警线，提前缩减非必要扩展。</w:t>
      </w:r>
    </w:p>
    <w:p>
      <w:pPr>
        <w:pStyle w:val="Heading1"/>
      </w:pPr>
      <w:r>
        <w:t>十一、发展里程碑</w:t>
      </w:r>
    </w:p>
    <w:tbl>
      <w:tblPr>
        <w:tblStyle w:val="LightShading-Accent1"/>
        <w:tblW w:type="auto" w:w="0"/>
        <w:jc w:val="center"/>
        <w:tblLook w:firstColumn="1" w:firstRow="1" w:lastColumn="0" w:lastRow="0" w:noHBand="0" w:noVBand="1" w:val="04A0"/>
      </w:tblPr>
      <w:tblGrid>
        <w:gridCol w:w="2381"/>
        <w:gridCol w:w="2381"/>
        <w:gridCol w:w="2381"/>
        <w:gridCol w:w="2381"/>
      </w:tblGrid>
      <w:tr>
        <w:trPr>
          <w:cantSplit/>
          <w:tblHeader/>
        </w:trPr>
        <w:tc>
          <w:tcPr>
            <w:tcW w:type="dxa" w:w="2381"/>
            <w:vAlign w:val="center"/>
            <w:shd w:fill="214D43"/>
          </w:tcPr>
          <w:p>
            <w:pPr>
              <w:spacing w:after="80" w:before="80" w:line="276" w:lineRule="auto"/>
            </w:pPr>
            <w:r>
              <w:rPr>
                <w:b/>
                <w:color w:val="FFFFFF"/>
                <w:sz w:val="18"/>
              </w:rPr>
              <w:t>时间</w:t>
            </w:r>
          </w:p>
        </w:tc>
        <w:tc>
          <w:tcPr>
            <w:tcW w:type="dxa" w:w="2381"/>
            <w:vAlign w:val="center"/>
            <w:shd w:fill="214D43"/>
          </w:tcPr>
          <w:p>
            <w:pPr>
              <w:spacing w:after="80" w:before="80" w:line="276" w:lineRule="auto"/>
            </w:pPr>
            <w:r>
              <w:rPr>
                <w:b/>
                <w:color w:val="FFFFFF"/>
                <w:sz w:val="18"/>
              </w:rPr>
              <w:t>产品与内容</w:t>
            </w:r>
          </w:p>
        </w:tc>
        <w:tc>
          <w:tcPr>
            <w:tcW w:type="dxa" w:w="2381"/>
            <w:vAlign w:val="center"/>
            <w:shd w:fill="214D43"/>
          </w:tcPr>
          <w:p>
            <w:pPr>
              <w:spacing w:after="80" w:before="80" w:line="276" w:lineRule="auto"/>
            </w:pPr>
            <w:r>
              <w:rPr>
                <w:b/>
                <w:color w:val="FFFFFF"/>
                <w:sz w:val="18"/>
              </w:rPr>
              <w:t>商业验证</w:t>
            </w:r>
          </w:p>
        </w:tc>
        <w:tc>
          <w:tcPr>
            <w:tcW w:type="dxa" w:w="2381"/>
            <w:vAlign w:val="center"/>
            <w:shd w:fill="214D43"/>
          </w:tcPr>
          <w:p>
            <w:pPr>
              <w:spacing w:after="80" w:before="80" w:line="276" w:lineRule="auto"/>
            </w:pPr>
            <w:r>
              <w:rPr>
                <w:b/>
                <w:color w:val="FFFFFF"/>
                <w:sz w:val="18"/>
              </w:rPr>
              <w:t>组织与本地发展</w:t>
            </w:r>
          </w:p>
        </w:tc>
      </w:tr>
      <w:tr>
        <w:trPr>
          <w:cantSplit/>
        </w:trPr>
        <w:tc>
          <w:tcPr>
            <w:tcW w:type="dxa" w:w="2381"/>
            <w:vAlign w:val="center"/>
          </w:tcPr>
          <w:p>
            <w:pPr>
              <w:spacing w:after="80" w:before="80" w:line="276" w:lineRule="auto"/>
            </w:pPr>
            <w:r>
              <w:rPr>
                <w:sz w:val="18"/>
              </w:rPr>
              <w:t>0～3 个月</w:t>
            </w:r>
          </w:p>
        </w:tc>
        <w:tc>
          <w:tcPr>
            <w:tcW w:type="dxa" w:w="2381"/>
            <w:vAlign w:val="center"/>
          </w:tcPr>
          <w:p>
            <w:pPr>
              <w:spacing w:after="80" w:before="80" w:line="276" w:lineRule="auto"/>
            </w:pPr>
            <w:r>
              <w:rPr>
                <w:sz w:val="18"/>
              </w:rPr>
              <w:t>核心流程与真实设备验收；10 条核实样板路线</w:t>
            </w:r>
          </w:p>
        </w:tc>
        <w:tc>
          <w:tcPr>
            <w:tcW w:type="dxa" w:w="2381"/>
            <w:vAlign w:val="center"/>
          </w:tcPr>
          <w:p>
            <w:pPr>
              <w:spacing w:after="80" w:before="80" w:line="276" w:lineRule="auto"/>
            </w:pPr>
            <w:r>
              <w:rPr>
                <w:sz w:val="18"/>
              </w:rPr>
              <w:t>100 名有效试用者；访谈和成本基线</w:t>
            </w:r>
          </w:p>
        </w:tc>
        <w:tc>
          <w:tcPr>
            <w:tcW w:type="dxa" w:w="2381"/>
            <w:vAlign w:val="center"/>
          </w:tcPr>
          <w:p>
            <w:pPr>
              <w:spacing w:after="80" w:before="80" w:line="276" w:lineRule="auto"/>
            </w:pPr>
            <w:r>
              <w:rPr>
                <w:sz w:val="18"/>
              </w:rPr>
              <w:t>明确真实落地安排及岗位负责人</w:t>
            </w:r>
          </w:p>
        </w:tc>
      </w:tr>
      <w:tr>
        <w:trPr>
          <w:cantSplit/>
        </w:trPr>
        <w:tc>
          <w:tcPr>
            <w:tcW w:type="dxa" w:w="2381"/>
            <w:vAlign w:val="center"/>
          </w:tcPr>
          <w:p>
            <w:pPr>
              <w:spacing w:after="80" w:before="80" w:line="276" w:lineRule="auto"/>
            </w:pPr>
            <w:r>
              <w:rPr>
                <w:sz w:val="18"/>
              </w:rPr>
              <w:t>4～6 个月</w:t>
            </w:r>
          </w:p>
        </w:tc>
        <w:tc>
          <w:tcPr>
            <w:tcW w:type="dxa" w:w="2381"/>
            <w:vAlign w:val="center"/>
          </w:tcPr>
          <w:p>
            <w:pPr>
              <w:spacing w:after="80" w:before="80" w:line="276" w:lineRule="auto"/>
            </w:pPr>
            <w:r>
              <w:rPr>
                <w:sz w:val="18"/>
              </w:rPr>
              <w:t>优化创建、清单、分享和数据保护</w:t>
            </w:r>
          </w:p>
        </w:tc>
        <w:tc>
          <w:tcPr>
            <w:tcW w:type="dxa" w:w="2381"/>
            <w:vAlign w:val="center"/>
          </w:tcPr>
          <w:p>
            <w:pPr>
              <w:spacing w:after="80" w:before="80" w:line="276" w:lineRule="auto"/>
            </w:pPr>
            <w:r>
              <w:rPr>
                <w:sz w:val="18"/>
              </w:rPr>
              <w:t>社群试点、价格测试；不达留存目标不扩投</w:t>
            </w:r>
          </w:p>
        </w:tc>
        <w:tc>
          <w:tcPr>
            <w:tcW w:type="dxa" w:w="2381"/>
            <w:vAlign w:val="center"/>
          </w:tcPr>
          <w:p>
            <w:pPr>
              <w:spacing w:after="80" w:before="80" w:line="276" w:lineRule="auto"/>
            </w:pPr>
            <w:r>
              <w:rPr>
                <w:sz w:val="18"/>
              </w:rPr>
              <w:t>形成内容核验协作与客户反馈机制</w:t>
            </w:r>
          </w:p>
        </w:tc>
      </w:tr>
      <w:tr>
        <w:trPr>
          <w:cantSplit/>
        </w:trPr>
        <w:tc>
          <w:tcPr>
            <w:tcW w:type="dxa" w:w="2381"/>
            <w:vAlign w:val="center"/>
          </w:tcPr>
          <w:p>
            <w:pPr>
              <w:spacing w:after="80" w:before="80" w:line="276" w:lineRule="auto"/>
            </w:pPr>
            <w:r>
              <w:rPr>
                <w:sz w:val="18"/>
              </w:rPr>
              <w:t>7～12 个月</w:t>
            </w:r>
          </w:p>
        </w:tc>
        <w:tc>
          <w:tcPr>
            <w:tcW w:type="dxa" w:w="2381"/>
            <w:vAlign w:val="center"/>
          </w:tcPr>
          <w:p>
            <w:pPr>
              <w:spacing w:after="80" w:before="80" w:line="276" w:lineRule="auto"/>
            </w:pPr>
            <w:r>
              <w:rPr>
                <w:sz w:val="18"/>
              </w:rPr>
              <w:t>样板内容扩至 30 条；按需完善会员体验</w:t>
            </w:r>
          </w:p>
        </w:tc>
        <w:tc>
          <w:tcPr>
            <w:tcW w:type="dxa" w:w="2381"/>
            <w:vAlign w:val="center"/>
          </w:tcPr>
          <w:p>
            <w:pPr>
              <w:spacing w:after="80" w:before="80" w:line="276" w:lineRule="auto"/>
            </w:pPr>
            <w:r>
              <w:rPr>
                <w:sz w:val="18"/>
              </w:rPr>
              <w:t>目标达到首年会员与 6 家机构服务当量</w:t>
            </w:r>
          </w:p>
        </w:tc>
        <w:tc>
          <w:tcPr>
            <w:tcW w:type="dxa" w:w="2381"/>
            <w:vAlign w:val="center"/>
          </w:tcPr>
          <w:p>
            <w:pPr>
              <w:spacing w:after="80" w:before="80" w:line="276" w:lineRule="auto"/>
            </w:pPr>
            <w:r>
              <w:rPr>
                <w:sz w:val="18"/>
              </w:rPr>
              <w:t>拟形成负责人外约 3 人直接用工</w:t>
            </w:r>
          </w:p>
        </w:tc>
      </w:tr>
      <w:tr>
        <w:trPr>
          <w:cantSplit/>
        </w:trPr>
        <w:tc>
          <w:tcPr>
            <w:tcW w:type="dxa" w:w="2381"/>
            <w:vAlign w:val="center"/>
          </w:tcPr>
          <w:p>
            <w:pPr>
              <w:spacing w:after="80" w:before="80" w:line="276" w:lineRule="auto"/>
            </w:pPr>
            <w:r>
              <w:rPr>
                <w:sz w:val="18"/>
              </w:rPr>
              <w:t>第二年</w:t>
            </w:r>
          </w:p>
        </w:tc>
        <w:tc>
          <w:tcPr>
            <w:tcW w:type="dxa" w:w="2381"/>
            <w:vAlign w:val="center"/>
          </w:tcPr>
          <w:p>
            <w:pPr>
              <w:spacing w:after="80" w:before="80" w:line="276" w:lineRule="auto"/>
            </w:pPr>
            <w:r>
              <w:rPr>
                <w:sz w:val="18"/>
              </w:rPr>
              <w:t>提升内容维护和机构所需权限、模板能力</w:t>
            </w:r>
          </w:p>
        </w:tc>
        <w:tc>
          <w:tcPr>
            <w:tcW w:type="dxa" w:w="2381"/>
            <w:vAlign w:val="center"/>
          </w:tcPr>
          <w:p>
            <w:pPr>
              <w:spacing w:after="80" w:before="80" w:line="276" w:lineRule="auto"/>
            </w:pPr>
            <w:r>
              <w:rPr>
                <w:sz w:val="18"/>
              </w:rPr>
              <w:t>目标 3,500 付费有效用户年、25 家机构当量</w:t>
            </w:r>
          </w:p>
        </w:tc>
        <w:tc>
          <w:tcPr>
            <w:tcW w:type="dxa" w:w="2381"/>
            <w:vAlign w:val="center"/>
          </w:tcPr>
          <w:p>
            <w:pPr>
              <w:spacing w:after="80" w:before="80" w:line="276" w:lineRule="auto"/>
            </w:pPr>
            <w:r>
              <w:rPr>
                <w:sz w:val="18"/>
              </w:rPr>
              <w:t>根据收入与交付工时增加岗位</w:t>
            </w:r>
          </w:p>
        </w:tc>
      </w:tr>
      <w:tr>
        <w:trPr>
          <w:cantSplit/>
        </w:trPr>
        <w:tc>
          <w:tcPr>
            <w:tcW w:type="dxa" w:w="2381"/>
            <w:vAlign w:val="center"/>
          </w:tcPr>
          <w:p>
            <w:pPr>
              <w:spacing w:after="80" w:before="80" w:line="276" w:lineRule="auto"/>
            </w:pPr>
            <w:r>
              <w:rPr>
                <w:sz w:val="18"/>
              </w:rPr>
              <w:t>第三年</w:t>
            </w:r>
          </w:p>
        </w:tc>
        <w:tc>
          <w:tcPr>
            <w:tcW w:type="dxa" w:w="2381"/>
            <w:vAlign w:val="center"/>
          </w:tcPr>
          <w:p>
            <w:pPr>
              <w:spacing w:after="80" w:before="80" w:line="276" w:lineRule="auto"/>
            </w:pPr>
            <w:r>
              <w:rPr>
                <w:sz w:val="18"/>
              </w:rPr>
              <w:t>复制经验证的目的地运营方法</w:t>
            </w:r>
          </w:p>
        </w:tc>
        <w:tc>
          <w:tcPr>
            <w:tcW w:type="dxa" w:w="2381"/>
            <w:vAlign w:val="center"/>
          </w:tcPr>
          <w:p>
            <w:pPr>
              <w:spacing w:after="80" w:before="80" w:line="276" w:lineRule="auto"/>
            </w:pPr>
            <w:r>
              <w:rPr>
                <w:sz w:val="18"/>
              </w:rPr>
              <w:t>目标 1 万付费有效用户年、60 家机构当量</w:t>
            </w:r>
          </w:p>
        </w:tc>
        <w:tc>
          <w:tcPr>
            <w:tcW w:type="dxa" w:w="2381"/>
            <w:vAlign w:val="center"/>
          </w:tcPr>
          <w:p>
            <w:pPr>
              <w:spacing w:after="80" w:before="80" w:line="276" w:lineRule="auto"/>
            </w:pPr>
            <w:r>
              <w:rPr>
                <w:sz w:val="18"/>
              </w:rPr>
              <w:t>拟形成负责人外约 6 人直接用工</w:t>
            </w:r>
          </w:p>
        </w:tc>
      </w:tr>
    </w:tbl>
    <w:p>
      <w:pPr>
        <w:spacing w:after="0"/>
      </w:pPr>
    </w:p>
    <w:p>
      <w:r>
        <w:rPr>
          <w:b w:val="0"/>
        </w:rPr>
        <w:t>第一年 800 个付费有效用户年需全年累计 9,600 个付费服务月。若半年后才开放购买，在忽略流失的简化情况下，后半年平均需约 1,600 名有效付费用户。因此，会员开放时间与用户增长是首年收入能否成立的关键，需随实际进度下调预测。</w:t>
      </w:r>
    </w:p>
    <w:p>
      <w:pPr>
        <w:pStyle w:val="Heading1"/>
      </w:pPr>
      <w:r>
        <w:t>十二、风险与应对</w:t>
      </w:r>
    </w:p>
    <w:tbl>
      <w:tblPr>
        <w:tblStyle w:val="LightShading-Accent1"/>
        <w:tblW w:type="auto" w:w="0"/>
        <w:jc w:val="center"/>
        <w:tblLook w:firstColumn="1" w:firstRow="1" w:lastColumn="0" w:lastRow="0" w:noHBand="0" w:noVBand="1" w:val="04A0"/>
      </w:tblPr>
      <w:tblGrid>
        <w:gridCol w:w="3175"/>
        <w:gridCol w:w="3175"/>
        <w:gridCol w:w="3175"/>
      </w:tblGrid>
      <w:tr>
        <w:trPr>
          <w:cantSplit/>
          <w:tblHeader/>
        </w:trPr>
        <w:tc>
          <w:tcPr>
            <w:tcW w:type="dxa" w:w="3175"/>
            <w:vAlign w:val="center"/>
            <w:shd w:fill="214D43"/>
          </w:tcPr>
          <w:p>
            <w:pPr>
              <w:spacing w:after="80" w:before="80" w:line="276" w:lineRule="auto"/>
            </w:pPr>
            <w:r>
              <w:rPr>
                <w:b/>
                <w:color w:val="FFFFFF"/>
                <w:sz w:val="18"/>
              </w:rPr>
              <w:t>主要风险</w:t>
            </w:r>
          </w:p>
        </w:tc>
        <w:tc>
          <w:tcPr>
            <w:tcW w:type="dxa" w:w="3175"/>
            <w:vAlign w:val="center"/>
            <w:shd w:fill="214D43"/>
          </w:tcPr>
          <w:p>
            <w:pPr>
              <w:spacing w:after="80" w:before="80" w:line="276" w:lineRule="auto"/>
            </w:pPr>
            <w:r>
              <w:rPr>
                <w:b/>
                <w:color w:val="FFFFFF"/>
                <w:sz w:val="18"/>
              </w:rPr>
              <w:t>影响</w:t>
            </w:r>
          </w:p>
        </w:tc>
        <w:tc>
          <w:tcPr>
            <w:tcW w:type="dxa" w:w="3175"/>
            <w:vAlign w:val="center"/>
            <w:shd w:fill="214D43"/>
          </w:tcPr>
          <w:p>
            <w:pPr>
              <w:spacing w:after="80" w:before="80" w:line="276" w:lineRule="auto"/>
            </w:pPr>
            <w:r>
              <w:rPr>
                <w:b/>
                <w:color w:val="FFFFFF"/>
                <w:sz w:val="18"/>
              </w:rPr>
              <w:t>具体应对</w:t>
            </w:r>
          </w:p>
        </w:tc>
      </w:tr>
      <w:tr>
        <w:trPr>
          <w:cantSplit/>
        </w:trPr>
        <w:tc>
          <w:tcPr>
            <w:tcW w:type="dxa" w:w="3175"/>
            <w:vAlign w:val="center"/>
          </w:tcPr>
          <w:p>
            <w:pPr>
              <w:spacing w:after="80" w:before="80" w:line="276" w:lineRule="auto"/>
            </w:pPr>
            <w:r>
              <w:rPr>
                <w:sz w:val="18"/>
              </w:rPr>
              <w:t>用户觉得现有工具已足够</w:t>
            </w:r>
          </w:p>
        </w:tc>
        <w:tc>
          <w:tcPr>
            <w:tcW w:type="dxa" w:w="3175"/>
            <w:vAlign w:val="center"/>
          </w:tcPr>
          <w:p>
            <w:pPr>
              <w:spacing w:after="80" w:before="80" w:line="276" w:lineRule="auto"/>
            </w:pPr>
            <w:r>
              <w:rPr>
                <w:sz w:val="18"/>
              </w:rPr>
              <w:t>激活与付费不足</w:t>
            </w:r>
          </w:p>
        </w:tc>
        <w:tc>
          <w:tcPr>
            <w:tcW w:type="dxa" w:w="3175"/>
            <w:vAlign w:val="center"/>
          </w:tcPr>
          <w:p>
            <w:pPr>
              <w:spacing w:after="80" w:before="80" w:line="276" w:lineRule="auto"/>
            </w:pPr>
            <w:r>
              <w:rPr>
                <w:sz w:val="18"/>
              </w:rPr>
              <w:t>用真实出行测试；先改善最耗时环节，停止低价值功能扩张</w:t>
            </w:r>
          </w:p>
        </w:tc>
      </w:tr>
      <w:tr>
        <w:trPr>
          <w:cantSplit/>
        </w:trPr>
        <w:tc>
          <w:tcPr>
            <w:tcW w:type="dxa" w:w="3175"/>
            <w:vAlign w:val="center"/>
          </w:tcPr>
          <w:p>
            <w:pPr>
              <w:spacing w:after="80" w:before="80" w:line="276" w:lineRule="auto"/>
            </w:pPr>
            <w:r>
              <w:rPr>
                <w:sz w:val="18"/>
              </w:rPr>
              <w:t>内容过时或 AI 输出错误</w:t>
            </w:r>
          </w:p>
        </w:tc>
        <w:tc>
          <w:tcPr>
            <w:tcW w:type="dxa" w:w="3175"/>
            <w:vAlign w:val="center"/>
          </w:tcPr>
          <w:p>
            <w:pPr>
              <w:spacing w:after="80" w:before="80" w:line="276" w:lineRule="auto"/>
            </w:pPr>
            <w:r>
              <w:rPr>
                <w:sz w:val="18"/>
              </w:rPr>
              <w:t>误导准备，带来安全与声誉风险</w:t>
            </w:r>
          </w:p>
        </w:tc>
        <w:tc>
          <w:tcPr>
            <w:tcW w:type="dxa" w:w="3175"/>
            <w:vAlign w:val="center"/>
          </w:tcPr>
          <w:p>
            <w:pPr>
              <w:spacing w:after="80" w:before="80" w:line="276" w:lineRule="auto"/>
            </w:pPr>
            <w:r>
              <w:rPr>
                <w:sz w:val="18"/>
              </w:rPr>
              <w:t>关键内容人工核验、版本日期、纠错与下架；不承诺救援或绝对安全</w:t>
            </w:r>
          </w:p>
        </w:tc>
      </w:tr>
      <w:tr>
        <w:trPr>
          <w:cantSplit/>
        </w:trPr>
        <w:tc>
          <w:tcPr>
            <w:tcW w:type="dxa" w:w="3175"/>
            <w:vAlign w:val="center"/>
          </w:tcPr>
          <w:p>
            <w:pPr>
              <w:spacing w:after="80" w:before="80" w:line="276" w:lineRule="auto"/>
            </w:pPr>
            <w:r>
              <w:rPr>
                <w:sz w:val="18"/>
              </w:rPr>
              <w:t>会员转化和续费偏低</w:t>
            </w:r>
          </w:p>
        </w:tc>
        <w:tc>
          <w:tcPr>
            <w:tcW w:type="dxa" w:w="3175"/>
            <w:vAlign w:val="center"/>
          </w:tcPr>
          <w:p>
            <w:pPr>
              <w:spacing w:after="80" w:before="80" w:line="276" w:lineRule="auto"/>
            </w:pPr>
            <w:r>
              <w:rPr>
                <w:sz w:val="18"/>
              </w:rPr>
              <w:t>收入不达预期</w:t>
            </w:r>
          </w:p>
        </w:tc>
        <w:tc>
          <w:tcPr>
            <w:tcW w:type="dxa" w:w="3175"/>
            <w:vAlign w:val="center"/>
          </w:tcPr>
          <w:p>
            <w:pPr>
              <w:spacing w:after="80" w:before="80" w:line="276" w:lineRule="auto"/>
            </w:pPr>
            <w:r>
              <w:rPr>
                <w:sz w:val="18"/>
              </w:rPr>
              <w:t>小范围真实付费；按队列复盘；基础功能保持可用</w:t>
            </w:r>
          </w:p>
        </w:tc>
      </w:tr>
      <w:tr>
        <w:trPr>
          <w:cantSplit/>
        </w:trPr>
        <w:tc>
          <w:tcPr>
            <w:tcW w:type="dxa" w:w="3175"/>
            <w:vAlign w:val="center"/>
          </w:tcPr>
          <w:p>
            <w:pPr>
              <w:spacing w:after="80" w:before="80" w:line="276" w:lineRule="auto"/>
            </w:pPr>
            <w:r>
              <w:rPr>
                <w:sz w:val="18"/>
              </w:rPr>
              <w:t>机构服务重定制</w:t>
            </w:r>
          </w:p>
        </w:tc>
        <w:tc>
          <w:tcPr>
            <w:tcW w:type="dxa" w:w="3175"/>
            <w:vAlign w:val="center"/>
          </w:tcPr>
          <w:p>
            <w:pPr>
              <w:spacing w:after="80" w:before="80" w:line="276" w:lineRule="auto"/>
            </w:pPr>
            <w:r>
              <w:rPr>
                <w:sz w:val="18"/>
              </w:rPr>
              <w:t>人力投入吞噬收入</w:t>
            </w:r>
          </w:p>
        </w:tc>
        <w:tc>
          <w:tcPr>
            <w:tcW w:type="dxa" w:w="3175"/>
            <w:vAlign w:val="center"/>
          </w:tcPr>
          <w:p>
            <w:pPr>
              <w:spacing w:after="80" w:before="80" w:line="276" w:lineRule="auto"/>
            </w:pPr>
            <w:r>
              <w:rPr>
                <w:sz w:val="18"/>
              </w:rPr>
              <w:t>限定试点交付范围、记录工时、未形成标准需求不扩张</w:t>
            </w:r>
          </w:p>
        </w:tc>
      </w:tr>
      <w:tr>
        <w:trPr>
          <w:cantSplit/>
        </w:trPr>
        <w:tc>
          <w:tcPr>
            <w:tcW w:type="dxa" w:w="3175"/>
            <w:vAlign w:val="center"/>
          </w:tcPr>
          <w:p>
            <w:pPr>
              <w:spacing w:after="80" w:before="80" w:line="276" w:lineRule="auto"/>
            </w:pPr>
            <w:r>
              <w:rPr>
                <w:sz w:val="18"/>
              </w:rPr>
              <w:t>存储与 AI 成本超预算</w:t>
            </w:r>
          </w:p>
        </w:tc>
        <w:tc>
          <w:tcPr>
            <w:tcW w:type="dxa" w:w="3175"/>
            <w:vAlign w:val="center"/>
          </w:tcPr>
          <w:p>
            <w:pPr>
              <w:spacing w:after="80" w:before="80" w:line="276" w:lineRule="auto"/>
            </w:pPr>
            <w:r>
              <w:rPr>
                <w:sz w:val="18"/>
              </w:rPr>
              <w:t>免费用户规模扩大但收入不足</w:t>
            </w:r>
          </w:p>
        </w:tc>
        <w:tc>
          <w:tcPr>
            <w:tcW w:type="dxa" w:w="3175"/>
            <w:vAlign w:val="center"/>
          </w:tcPr>
          <w:p>
            <w:pPr>
              <w:spacing w:after="80" w:before="80" w:line="276" w:lineRule="auto"/>
            </w:pPr>
            <w:r>
              <w:rPr>
                <w:sz w:val="18"/>
              </w:rPr>
              <w:t>配额、单次输入与文件限制、成本台账、服务降级与预算控制</w:t>
            </w:r>
          </w:p>
        </w:tc>
      </w:tr>
      <w:tr>
        <w:trPr>
          <w:cantSplit/>
        </w:trPr>
        <w:tc>
          <w:tcPr>
            <w:tcW w:type="dxa" w:w="3175"/>
            <w:vAlign w:val="center"/>
          </w:tcPr>
          <w:p>
            <w:pPr>
              <w:spacing w:after="80" w:before="80" w:line="276" w:lineRule="auto"/>
            </w:pPr>
            <w:r>
              <w:rPr>
                <w:sz w:val="18"/>
              </w:rPr>
              <w:t>私密位置和媒体泄露</w:t>
            </w:r>
          </w:p>
        </w:tc>
        <w:tc>
          <w:tcPr>
            <w:tcW w:type="dxa" w:w="3175"/>
            <w:vAlign w:val="center"/>
          </w:tcPr>
          <w:p>
            <w:pPr>
              <w:spacing w:after="80" w:before="80" w:line="276" w:lineRule="auto"/>
            </w:pPr>
            <w:r>
              <w:rPr>
                <w:sz w:val="18"/>
              </w:rPr>
              <w:t>用户权益和经营风险</w:t>
            </w:r>
          </w:p>
        </w:tc>
        <w:tc>
          <w:tcPr>
            <w:tcW w:type="dxa" w:w="3175"/>
            <w:vAlign w:val="center"/>
          </w:tcPr>
          <w:p>
            <w:pPr>
              <w:spacing w:after="80" w:before="80" w:line="276" w:lineRule="auto"/>
            </w:pPr>
            <w:r>
              <w:rPr>
                <w:sz w:val="18"/>
              </w:rPr>
              <w:t>按实际数据链路核查权限、公开链接与删除机制；补齐告知和授权</w:t>
            </w:r>
          </w:p>
        </w:tc>
      </w:tr>
      <w:tr>
        <w:trPr>
          <w:cantSplit/>
        </w:trPr>
        <w:tc>
          <w:tcPr>
            <w:tcW w:type="dxa" w:w="3175"/>
            <w:vAlign w:val="center"/>
          </w:tcPr>
          <w:p>
            <w:pPr>
              <w:spacing w:after="80" w:before="80" w:line="276" w:lineRule="auto"/>
            </w:pPr>
            <w:r>
              <w:rPr>
                <w:sz w:val="18"/>
              </w:rPr>
              <w:t>内容与地图授权不清</w:t>
            </w:r>
          </w:p>
        </w:tc>
        <w:tc>
          <w:tcPr>
            <w:tcW w:type="dxa" w:w="3175"/>
            <w:vAlign w:val="center"/>
          </w:tcPr>
          <w:p>
            <w:pPr>
              <w:spacing w:after="80" w:before="80" w:line="276" w:lineRule="auto"/>
            </w:pPr>
            <w:r>
              <w:rPr>
                <w:sz w:val="18"/>
              </w:rPr>
              <w:t>纠纷、下架与额外成本</w:t>
            </w:r>
          </w:p>
        </w:tc>
        <w:tc>
          <w:tcPr>
            <w:tcW w:type="dxa" w:w="3175"/>
            <w:vAlign w:val="center"/>
          </w:tcPr>
          <w:p>
            <w:pPr>
              <w:spacing w:after="80" w:before="80" w:line="276" w:lineRule="auto"/>
            </w:pPr>
            <w:r>
              <w:rPr>
                <w:sz w:val="18"/>
              </w:rPr>
              <w:t>素材来源与许可台账；按供应商条款使用，不直接搬运受保护内容</w:t>
            </w:r>
          </w:p>
        </w:tc>
      </w:tr>
      <w:tr>
        <w:trPr>
          <w:cantSplit/>
        </w:trPr>
        <w:tc>
          <w:tcPr>
            <w:tcW w:type="dxa" w:w="3175"/>
            <w:vAlign w:val="center"/>
          </w:tcPr>
          <w:p>
            <w:pPr>
              <w:spacing w:after="80" w:before="80" w:line="276" w:lineRule="auto"/>
            </w:pPr>
            <w:r>
              <w:rPr>
                <w:sz w:val="18"/>
              </w:rPr>
              <w:t>合作方履约或资质问题</w:t>
            </w:r>
          </w:p>
        </w:tc>
        <w:tc>
          <w:tcPr>
            <w:tcW w:type="dxa" w:w="3175"/>
            <w:vAlign w:val="center"/>
          </w:tcPr>
          <w:p>
            <w:pPr>
              <w:spacing w:after="80" w:before="80" w:line="276" w:lineRule="auto"/>
            </w:pPr>
            <w:r>
              <w:rPr>
                <w:sz w:val="18"/>
              </w:rPr>
              <w:t>投诉、退款和责任争议</w:t>
            </w:r>
          </w:p>
        </w:tc>
        <w:tc>
          <w:tcPr>
            <w:tcW w:type="dxa" w:w="3175"/>
            <w:vAlign w:val="center"/>
          </w:tcPr>
          <w:p>
            <w:pPr>
              <w:spacing w:after="80" w:before="80" w:line="276" w:lineRule="auto"/>
            </w:pPr>
            <w:r>
              <w:rPr>
                <w:sz w:val="18"/>
              </w:rPr>
              <w:t>核验资质、标明服务主体、书面责任划分、暂停不合格供给</w:t>
            </w:r>
          </w:p>
        </w:tc>
      </w:tr>
      <w:tr>
        <w:trPr>
          <w:cantSplit/>
        </w:trPr>
        <w:tc>
          <w:tcPr>
            <w:tcW w:type="dxa" w:w="3175"/>
            <w:vAlign w:val="center"/>
          </w:tcPr>
          <w:p>
            <w:pPr>
              <w:spacing w:after="80" w:before="80" w:line="276" w:lineRule="auto"/>
            </w:pPr>
            <w:r>
              <w:rPr>
                <w:sz w:val="18"/>
              </w:rPr>
              <w:t>线下安全与生态承载</w:t>
            </w:r>
          </w:p>
        </w:tc>
        <w:tc>
          <w:tcPr>
            <w:tcW w:type="dxa" w:w="3175"/>
            <w:vAlign w:val="center"/>
          </w:tcPr>
          <w:p>
            <w:pPr>
              <w:spacing w:after="80" w:before="80" w:line="276" w:lineRule="auto"/>
            </w:pPr>
            <w:r>
              <w:rPr>
                <w:sz w:val="18"/>
              </w:rPr>
              <w:t>用户受伤或目的地受损</w:t>
            </w:r>
          </w:p>
        </w:tc>
        <w:tc>
          <w:tcPr>
            <w:tcW w:type="dxa" w:w="3175"/>
            <w:vAlign w:val="center"/>
          </w:tcPr>
          <w:p>
            <w:pPr>
              <w:spacing w:after="80" w:before="80" w:line="276" w:lineRule="auto"/>
            </w:pPr>
            <w:r>
              <w:rPr>
                <w:sz w:val="18"/>
              </w:rPr>
              <w:t>遵守开放和保护规定，提示适用人群；不以免责声明替代产品责任</w:t>
            </w:r>
          </w:p>
        </w:tc>
      </w:tr>
      <w:tr>
        <w:trPr>
          <w:cantSplit/>
        </w:trPr>
        <w:tc>
          <w:tcPr>
            <w:tcW w:type="dxa" w:w="3175"/>
            <w:vAlign w:val="center"/>
          </w:tcPr>
          <w:p>
            <w:pPr>
              <w:spacing w:after="80" w:before="80" w:line="276" w:lineRule="auto"/>
            </w:pPr>
            <w:r>
              <w:rPr>
                <w:sz w:val="18"/>
              </w:rPr>
              <w:t>发布或合规推进延迟</w:t>
            </w:r>
          </w:p>
        </w:tc>
        <w:tc>
          <w:tcPr>
            <w:tcW w:type="dxa" w:w="3175"/>
            <w:vAlign w:val="center"/>
          </w:tcPr>
          <w:p>
            <w:pPr>
              <w:spacing w:after="80" w:before="80" w:line="276" w:lineRule="auto"/>
            </w:pPr>
            <w:r>
              <w:rPr>
                <w:sz w:val="18"/>
              </w:rPr>
              <w:t>上线与付费计划延期</w:t>
            </w:r>
          </w:p>
        </w:tc>
        <w:tc>
          <w:tcPr>
            <w:tcW w:type="dxa" w:w="3175"/>
            <w:vAlign w:val="center"/>
          </w:tcPr>
          <w:p>
            <w:pPr>
              <w:spacing w:after="80" w:before="80" w:line="276" w:lineRule="auto"/>
            </w:pPr>
            <w:r>
              <w:rPr>
                <w:sz w:val="18"/>
              </w:rPr>
              <w:t>提前完成主体、隐私、SDK、支付和适用备案核验，按实际进度调整预算</w:t>
            </w:r>
          </w:p>
        </w:tc>
      </w:tr>
      <w:tr>
        <w:trPr>
          <w:cantSplit/>
        </w:trPr>
        <w:tc>
          <w:tcPr>
            <w:tcW w:type="dxa" w:w="3175"/>
            <w:vAlign w:val="center"/>
          </w:tcPr>
          <w:p>
            <w:pPr>
              <w:spacing w:after="80" w:before="80" w:line="276" w:lineRule="auto"/>
            </w:pPr>
            <w:r>
              <w:rPr>
                <w:sz w:val="18"/>
              </w:rPr>
              <w:t>团队或资金不足</w:t>
            </w:r>
          </w:p>
        </w:tc>
        <w:tc>
          <w:tcPr>
            <w:tcW w:type="dxa" w:w="3175"/>
            <w:vAlign w:val="center"/>
          </w:tcPr>
          <w:p>
            <w:pPr>
              <w:spacing w:after="80" w:before="80" w:line="276" w:lineRule="auto"/>
            </w:pPr>
            <w:r>
              <w:rPr>
                <w:sz w:val="18"/>
              </w:rPr>
              <w:t>交付中断</w:t>
            </w:r>
          </w:p>
        </w:tc>
        <w:tc>
          <w:tcPr>
            <w:tcW w:type="dxa" w:w="3175"/>
            <w:vAlign w:val="center"/>
          </w:tcPr>
          <w:p>
            <w:pPr>
              <w:spacing w:after="80" w:before="80" w:line="276" w:lineRule="auto"/>
            </w:pPr>
            <w:r>
              <w:rPr>
                <w:sz w:val="18"/>
              </w:rPr>
              <w:t>关键流程文档、备份恢复、分阶段投入和现金预警</w:t>
            </w:r>
          </w:p>
        </w:tc>
      </w:tr>
    </w:tbl>
    <w:p>
      <w:pPr>
        <w:spacing w:after="0"/>
      </w:pPr>
    </w:p>
    <w:p>
      <w:r>
        <w:rPr>
          <w:b w:val="0"/>
        </w:rPr>
        <w:t>当前隐私发布清单仍有未核验项，自托管也不能自动证明数据位于境内或全部媒体私密。正式运营应以实际部署、供应商合同和数据处理情况完成核验，不在商业宣传中使用未获证实的安全或合规承诺。</w:t>
      </w:r>
    </w:p>
    <w:p>
      <w:pPr>
        <w:pStyle w:val="Heading1"/>
      </w:pPr>
      <w:r>
        <w:t>十三、参赛资源诉求</w:t>
      </w:r>
    </w:p>
    <w:p>
      <w:r>
        <w:rPr>
          <w:b w:val="0"/>
        </w:rPr>
        <w:t>项目希望通过本次大赛获得三类资源：一是与南宁真实户外社群、合规目的地及相关服务方开展试点的机会；二是创业导师在收入验证、用工和财务方面的指导；三是与实际发展阶段匹配的创业空间和资金对接。</w:t>
      </w:r>
    </w:p>
    <w:p>
      <w:r>
        <w:rPr>
          <w:b w:val="0"/>
        </w:rPr>
        <w:t>开爬将以可演示的产品闭环、可追踪的真实使用、可核验的内容与用工证据作为阶段成果。南宁试点的目标是形成一套小团队可以持续维护、用户愿意重复使用、合作方可以明确交付的户外数字服务方法，并在验证后逐步推广。</w:t>
      </w:r>
    </w:p>
    <w:p>
      <w:pPr>
        <w:pStyle w:val="Heading1"/>
      </w:pPr>
      <w:r>
        <w:t>附录：资料依据与待补充事实</w:t>
      </w:r>
    </w:p>
    <w:p>
      <w:pPr>
        <w:pStyle w:val="Heading2"/>
      </w:pPr>
      <w:r>
        <w:t>A. 编制依据</w:t>
      </w:r>
    </w:p>
    <w:p>
      <w:r>
        <w:rPr>
          <w:b w:val="0"/>
        </w:rPr>
        <w:t>1. 用户提供的《南宁市人力资源和社会保障局关于举办 2026 年南宁市第十一届创业大赛暨第四届广西农民工创业大赛选拔赛的通知》，共 16 页。用于核对参赛对象、赛道、材料和流程；通知未提供具体评分权重。</w:t>
      </w:r>
    </w:p>
    <w:p>
      <w:r>
        <w:rPr>
          <w:b w:val="0"/>
        </w:rPr>
        <w:t>2. 项目代码：src/lib/routeGuideImport.ts、src/hooks/useOfficialItineraries.ts、src/lib/officialItinerary.ts、旅程／装备／清单相关 hooks、src/lib/offlineCache.ts、src/web/ 及对应服务端迁移和函数。用于核对实现基础，不代表线上验收。</w:t>
      </w:r>
    </w:p>
    <w:p>
      <w:r>
        <w:rPr>
          <w:b w:val="0"/>
        </w:rPr>
        <w:t>3. 最新产品文档：docs/smart-planning-rebuild.md、docs/official-itinerary-standard.md、docs/route-comments.md、docs/membership-and-quotas.md。较早的 README 与 Agent 文档仅作背景，冲突时优先核对最新代码。</w:t>
      </w:r>
    </w:p>
    <w:p>
      <w:r>
        <w:rPr>
          <w:b w:val="0"/>
        </w:rPr>
        <w:t>4. 成熟度与发布边界：admin/README.md、docs/admin-console.md、docs/privacy-release-checklist.md、docs/offline-live-share.md、docs/packing-mode-assets.md。用于识别演示模块、待发布核验与尚未开发功能。</w:t>
      </w:r>
    </w:p>
    <w:p>
      <w:r>
        <w:rPr>
          <w:b w:val="0"/>
        </w:rPr>
        <w:t>5. 财务、价格、用户规模、就业及落地路径由本计划提出，均为假设或目标。本版本未引用未经核实的宏观市场规模或外部调研数据。</w:t>
      </w:r>
    </w:p>
    <w:p>
      <w:pPr>
        <w:pStyle w:val="Heading2"/>
      </w:pPr>
      <w:r>
        <w:t>B. 正式提交前须补充</w:t>
      </w:r>
    </w:p>
    <w:p>
      <w:r>
        <w:rPr>
          <w:b w:val="0"/>
        </w:rPr>
        <w:t>参赛主体与注册日期；负责人资格及真实持股材料；南宁实际落地或落地意向；核心成员与相关经历；当前真实用户及去重口径；收入与成本台账；有效合作证明；软件与素材权利情况；实际带动就业证明；可现场演示的版本与截图。</w:t>
      </w:r>
    </w:p>
    <w:p>
      <w:r>
        <w:rPr>
          <w:b w:val="0"/>
        </w:rPr>
        <w:t>未获得的数据保留“待补充”，不自动填写为零；测试账号、样例路线、演示评论、意向合作和未来招聘均不得计为现有经营成果。</w:t>
      </w:r>
    </w:p>
    <w:sectPr w:rsidR="00FC693F" w:rsidRPr="0006063C" w:rsidSect="00034616">
      <w:headerReference w:type="default" r:id="rId9"/>
      <w:footerReference w:type="default" r:id="rId10"/>
      <w:pgSz w:w="11906" w:h="16838"/>
      <w:pgMar w:top="1191" w:right="1191" w:bottom="1077" w:left="1191"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参赛工作稿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A73"/>
        <w:sz w:val="16"/>
      </w:rPr>
      <w:t>KAIPA  开爬    /    2026 南宁市创业大赛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40"/>
    </w:pPr>
    <w:rPr>
      <w:rFonts w:ascii="Noto Sans CJK SC" w:hAnsi="Noto Sans CJK SC" w:eastAsia="Noto Sans CJK SC"/>
      <w:color w:val="2633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Noto Sans CJK SC" w:hAnsi="Noto Sans CJK SC" w:eastAsia="Noto Sans CJK SC"/>
      <w:b/>
      <w:bCs/>
      <w:color w:val="214D43"/>
      <w:sz w:val="36"/>
      <w:szCs w:val="28"/>
    </w:rPr>
  </w:style>
  <w:style w:type="paragraph" w:styleId="Heading2">
    <w:name w:val="heading 2"/>
    <w:basedOn w:val="Normal"/>
    <w:next w:val="Normal"/>
    <w:link w:val="Heading2Char"/>
    <w:uiPriority w:val="9"/>
    <w:unhideWhenUsed/>
    <w:qFormat/>
    <w:rsid w:val="00FC693F"/>
    <w:pPr>
      <w:keepNext/>
      <w:keepLines/>
      <w:spacing w:before="320" w:after="180"/>
      <w:outlineLvl w:val="1"/>
    </w:pPr>
    <w:rPr>
      <w:rFonts w:asciiTheme="majorHAnsi" w:eastAsiaTheme="majorEastAsia" w:hAnsiTheme="majorHAnsi" w:cstheme="majorBidi" w:ascii="Noto Sans CJK SC" w:hAnsi="Noto Sans CJK SC" w:eastAsia="Noto Sans CJK SC"/>
      <w:b/>
      <w:bCs/>
      <w:color w:val="214D43"/>
      <w:sz w:val="26"/>
      <w:szCs w:val="26"/>
    </w:rPr>
  </w:style>
  <w:style w:type="paragraph" w:styleId="Heading3">
    <w:name w:val="heading 3"/>
    <w:basedOn w:val="Normal"/>
    <w:next w:val="Normal"/>
    <w:link w:val="Heading3Char"/>
    <w:uiPriority w:val="9"/>
    <w:unhideWhenUsed/>
    <w:qFormat/>
    <w:rsid w:val="00FC693F"/>
    <w:pPr>
      <w:keepNext/>
      <w:keepLines/>
      <w:spacing w:before="320" w:after="180"/>
      <w:outlineLvl w:val="2"/>
    </w:pPr>
    <w:rPr>
      <w:rFonts w:asciiTheme="majorHAnsi" w:eastAsiaTheme="majorEastAsia" w:hAnsiTheme="majorHAnsi" w:cstheme="majorBidi" w:ascii="Noto Sans CJK SC" w:hAnsi="Noto Sans CJK SC" w:eastAsia="Noto Sans CJK SC"/>
      <w:b/>
      <w:bCs/>
      <w:color w:val="214D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320"/>
      <w:contextualSpacing/>
    </w:pPr>
    <w:rPr>
      <w:rFonts w:asciiTheme="majorHAnsi" w:eastAsiaTheme="majorEastAsia" w:hAnsiTheme="majorHAnsi" w:cstheme="majorBidi" w:ascii="Noto Sans CJK SC" w:hAnsi="Noto Sans CJK SC" w:eastAsia="Noto Sans CJK SC"/>
      <w:color w:val="214D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320" w:after="180"/>
    </w:pPr>
    <w:rPr>
      <w:rFonts w:asciiTheme="majorHAnsi" w:eastAsiaTheme="majorEastAsia" w:hAnsiTheme="majorHAnsi" w:cstheme="majorBidi" w:ascii="Noto Sans CJK SC" w:hAnsi="Noto Sans CJK SC" w:eastAsia="Noto Sans CJK SC"/>
      <w:i/>
      <w:iCs/>
      <w:color w:val="214D4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开爬 Kaipa 商业计划书</dc:title>
  <dc:subject>2026 年南宁市第十一届创业大赛</dc:subject>
  <dc:creator>开爬 Kaipa 项目组（主体待补充）</dc:creator>
  <cp:keywords/>
  <dc:description>generated by python-docx</dc:description>
  <cp:lastModifiedBy/>
  <cp:revision>1</cp:revision>
  <dcterms:created xsi:type="dcterms:W3CDTF">2013-12-23T23:15:00Z</dcterms:created>
  <dcterms:modified xsi:type="dcterms:W3CDTF">2013-12-23T23:15:00Z</dcterms:modified>
  <cp:category/>
</cp:coreProperties>
</file>