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sz w:val="28"/>
        </w:rPr>
        <w:t>Predictive Deep Learning Framework for Closed-Loop Theta-Gamma Phase-Amplitude Coupling Modulation: A Research Methodology</w:t>
      </w:r>
    </w:p>
    <w:p>
      <w:pPr>
        <w:pStyle w:val="Heading1"/>
        <w:jc w:val="left"/>
      </w:pPr>
      <w:r>
        <w:rPr>
          <w:rFonts w:ascii="Times New Roman" w:hAnsi="Times New Roman"/>
          <w:b/>
          <w:color w:val="000000"/>
          <w:sz w:val="22"/>
        </w:rPr>
        <w:t>Abstract</w:t>
      </w:r>
    </w:p>
    <w:p>
      <w:pPr>
        <w:spacing w:after="120"/>
        <w:ind w:firstLine="0"/>
        <w:jc w:val="both"/>
      </w:pPr>
      <w:r>
        <w:rPr>
          <w:rFonts w:ascii="Times New Roman" w:hAnsi="Times New Roman"/>
          <w:b w:val="0"/>
          <w:i/>
          <w:sz w:val="20"/>
        </w:rPr>
        <w:t>This document presents a comprehensive research methodology for developing a predictive deep learning framework integrated with Model Predictive Control (MPC) for real-time optimization of theta-gamma phase-amplitude coupling (PAC) through 40 Hz auditory stimulation. We propose a novel spatiotemporal architecture combining Graph Attention Networks (GAT) with temporal Transformers to predict future EEG states from multi-channel recordings. The predictive model forms the core of an MPC framework that optimizes stimulation timing to maximize theta-gamma PAC while minimizing intervention duration. Using the OpenNeuro ds005048 dataset containing 40 Hz auditory steady-state response recordings, we will train subject-specific models and validate the closed-loop control strategy through in silico simulations. This work addresses the critical challenge of temporal dynamics in neuromodulation, moving beyond reactive approaches to predictive, optimized interventions. Expected outcomes include demonstration of superior PAC enhancement, reduced stimulation exposure, and a generalizable framework for closed-loop brain state control.</w:t>
      </w:r>
    </w:p>
    <w:p>
      <w:pPr>
        <w:pStyle w:val="Heading1"/>
        <w:jc w:val="left"/>
      </w:pPr>
      <w:r>
        <w:rPr>
          <w:rFonts w:ascii="Times New Roman" w:hAnsi="Times New Roman"/>
          <w:b/>
          <w:color w:val="000000"/>
          <w:sz w:val="22"/>
        </w:rPr>
        <w:t>I. INTRODUCTION AND RESEARCH OBJECTIVES</w:t>
      </w:r>
    </w:p>
    <w:p>
      <w:pPr>
        <w:pStyle w:val="Heading2"/>
        <w:jc w:val="left"/>
      </w:pPr>
      <w:r>
        <w:rPr>
          <w:rFonts w:ascii="Times New Roman" w:hAnsi="Times New Roman"/>
          <w:b/>
          <w:color w:val="000000"/>
          <w:sz w:val="20"/>
        </w:rPr>
        <w:t>A. Background and Motivation</w:t>
      </w:r>
    </w:p>
    <w:p>
      <w:pPr>
        <w:spacing w:after="120"/>
        <w:ind w:firstLine="0"/>
        <w:jc w:val="both"/>
      </w:pPr>
      <w:r>
        <w:rPr>
          <w:rFonts w:ascii="Times New Roman" w:hAnsi="Times New Roman"/>
          <w:b w:val="0"/>
          <w:i w:val="0"/>
          <w:sz w:val="20"/>
        </w:rPr>
        <w:t>Phase-amplitude coupling between theta (4-8 Hz) and gamma (30-80 Hz) oscillations represents a fundamental mechanism for neural information processing, memory encoding, and cognitive control. Disrupted theta-gamma PAC has been implicated in Alzheimer's disease, schizophrenia, and cognitive impairment. Recent evidence suggests that 40 Hz sensory stimulation can entrain gamma oscillations and potentially restore functional connectivity patterns.</w:t>
      </w:r>
    </w:p>
    <w:p>
      <w:pPr>
        <w:spacing w:after="120"/>
        <w:ind w:firstLine="0"/>
        <w:jc w:val="both"/>
      </w:pPr>
      <w:r>
        <w:rPr>
          <w:rFonts w:ascii="Times New Roman" w:hAnsi="Times New Roman"/>
          <w:b w:val="0"/>
          <w:i w:val="0"/>
          <w:sz w:val="20"/>
        </w:rPr>
        <w:t>Current neuromodulation approaches employ open-loop protocols with fixed stimulation schedules, failing to account for individual variability, dynamic brain states, and optimal intervention timing. Closed-loop systems that adjust stimulation based on real-time neural activity offer potential for improved efficacy and safety. However, existing closed-loop approaches are reactive, responding to current brain states rather than anticipating future dynamics.</w:t>
      </w:r>
    </w:p>
    <w:p>
      <w:pPr>
        <w:spacing w:after="120"/>
        <w:ind w:firstLine="0"/>
        <w:jc w:val="both"/>
      </w:pPr>
      <w:r>
        <w:rPr>
          <w:rFonts w:ascii="Times New Roman" w:hAnsi="Times New Roman"/>
          <w:b w:val="0"/>
          <w:i w:val="0"/>
          <w:sz w:val="20"/>
        </w:rPr>
        <w:t>This research addresses the critical gap by developing a predictive framework that forecasts EEG dynamics multiple seconds ahead, enabling proactive optimization of stimulation timing through Model Predictive Control. By predicting when the brain is most receptive to entrainment, the system can maximize therapeutic effects while minimizing stimulation exposure.</w:t>
      </w:r>
    </w:p>
    <w:p>
      <w:pPr>
        <w:pStyle w:val="Heading2"/>
        <w:jc w:val="left"/>
      </w:pPr>
      <w:r>
        <w:rPr>
          <w:rFonts w:ascii="Times New Roman" w:hAnsi="Times New Roman"/>
          <w:b/>
          <w:color w:val="000000"/>
          <w:sz w:val="20"/>
        </w:rPr>
        <w:t>B. Research Objectives</w:t>
      </w:r>
    </w:p>
    <w:p>
      <w:pPr>
        <w:spacing w:after="120"/>
        <w:ind w:firstLine="0"/>
        <w:jc w:val="both"/>
      </w:pPr>
      <w:r>
        <w:rPr>
          <w:rFonts w:ascii="Times New Roman" w:hAnsi="Times New Roman"/>
          <w:b w:val="0"/>
          <w:i w:val="0"/>
          <w:sz w:val="20"/>
        </w:rPr>
        <w:t>The primary objectives of this research are:</w:t>
      </w:r>
    </w:p>
    <w:p>
      <w:pPr>
        <w:spacing w:after="120"/>
        <w:ind w:left="360"/>
      </w:pPr>
      <w:r>
        <w:rPr>
          <w:rFonts w:ascii="Times New Roman" w:hAnsi="Times New Roman"/>
          <w:sz w:val="20"/>
        </w:rPr>
        <w:t>• Develop a spatiotemporal deep learning architecture that accurately predicts multi-channel EEG dynamics and theta-gamma PAC values 5-10 seconds into the future</w:t>
        <w:br/>
      </w:r>
      <w:r>
        <w:rPr>
          <w:rFonts w:ascii="Times New Roman" w:hAnsi="Times New Roman"/>
          <w:sz w:val="20"/>
        </w:rPr>
        <w:t>• Integrate the predictive model into a Model Predictive Control framework for real-time optimization of 40 Hz auditory stimulation timing</w:t>
        <w:br/>
      </w:r>
      <w:r>
        <w:rPr>
          <w:rFonts w:ascii="Times New Roman" w:hAnsi="Times New Roman"/>
          <w:sz w:val="20"/>
        </w:rPr>
        <w:t>• Validate the closed-loop system through in silico simulations using data from the OpenNeuro ds005048 dataset (40 Hz auditory steady-state responses)</w:t>
        <w:br/>
      </w:r>
      <w:r>
        <w:rPr>
          <w:rFonts w:ascii="Times New Roman" w:hAnsi="Times New Roman"/>
          <w:sz w:val="20"/>
        </w:rPr>
        <w:t>• Demonstrate superior performance of predictive closed-loop control compared to open-loop and reactive closed-loop baselines</w:t>
        <w:br/>
      </w:r>
      <w:r>
        <w:rPr>
          <w:rFonts w:ascii="Times New Roman" w:hAnsi="Times New Roman"/>
          <w:sz w:val="20"/>
        </w:rPr>
        <w:t>• Establish a generalizable framework for closed-loop neuromodulation applicable to diverse brain stimulation modalities</w:t>
        <w:br/>
      </w:r>
    </w:p>
    <w:p>
      <w:pPr>
        <w:pStyle w:val="Heading2"/>
        <w:jc w:val="left"/>
      </w:pPr>
      <w:r>
        <w:rPr>
          <w:rFonts w:ascii="Times New Roman" w:hAnsi="Times New Roman"/>
          <w:b/>
          <w:color w:val="000000"/>
          <w:sz w:val="20"/>
        </w:rPr>
        <w:t>C. Research Hypotheses</w:t>
      </w:r>
    </w:p>
    <w:p>
      <w:pPr>
        <w:spacing w:after="120"/>
        <w:ind w:firstLine="0"/>
        <w:jc w:val="both"/>
      </w:pPr>
      <w:r>
        <w:rPr>
          <w:rFonts w:ascii="Times New Roman" w:hAnsi="Times New Roman"/>
          <w:b w:val="0"/>
          <w:i w:val="0"/>
          <w:sz w:val="20"/>
        </w:rPr>
        <w:t>We hypothesize that:</w:t>
      </w:r>
    </w:p>
    <w:p>
      <w:pPr>
        <w:spacing w:after="120"/>
        <w:ind w:left="360"/>
      </w:pPr>
      <w:r>
        <w:rPr>
          <w:rFonts w:ascii="Times New Roman" w:hAnsi="Times New Roman"/>
          <w:sz w:val="20"/>
        </w:rPr>
        <w:t>• H1: Graph Attention Networks combined with Transformer temporal modeling will achieve prediction accuracy &gt;0.80 correlation (R²) for theta-gamma PAC values 5-10 seconds ahead</w:t>
        <w:br/>
      </w:r>
      <w:r>
        <w:rPr>
          <w:rFonts w:ascii="Times New Roman" w:hAnsi="Times New Roman"/>
          <w:sz w:val="20"/>
        </w:rPr>
        <w:t>• H2: MPC-based closed-loop stimulation will increase theta-gamma PAC by 40-60% compared to baseline, exceeding open-loop stimulation (20-30% increase)</w:t>
        <w:br/>
      </w:r>
      <w:r>
        <w:rPr>
          <w:rFonts w:ascii="Times New Roman" w:hAnsi="Times New Roman"/>
          <w:sz w:val="20"/>
        </w:rPr>
        <w:t>• H3: Predictive closed-loop control will achieve equivalent PAC enhancement to continuous stimulation while reducing total stimulation time by 50-70%</w:t>
        <w:br/>
      </w:r>
      <w:r>
        <w:rPr>
          <w:rFonts w:ascii="Times New Roman" w:hAnsi="Times New Roman"/>
          <w:sz w:val="20"/>
        </w:rPr>
        <w:t>• H4: Subject-specific model fine-tuning will significantly outperform generic models, with &gt;15% improvement in prediction accuracy</w:t>
        <w:br/>
      </w:r>
    </w:p>
    <w:p>
      <w:pPr>
        <w:pStyle w:val="Heading1"/>
        <w:jc w:val="left"/>
      </w:pPr>
      <w:r>
        <w:rPr>
          <w:rFonts w:ascii="Times New Roman" w:hAnsi="Times New Roman"/>
          <w:b/>
          <w:color w:val="000000"/>
          <w:sz w:val="22"/>
        </w:rPr>
        <w:t>II. DATASET DESCRIPTION</w:t>
      </w:r>
    </w:p>
    <w:p>
      <w:pPr>
        <w:pStyle w:val="Heading2"/>
        <w:jc w:val="left"/>
      </w:pPr>
      <w:r>
        <w:rPr>
          <w:rFonts w:ascii="Times New Roman" w:hAnsi="Times New Roman"/>
          <w:b/>
          <w:color w:val="000000"/>
          <w:sz w:val="20"/>
        </w:rPr>
        <w:t>A. OpenNeuro ds005048: 40 Hz Auditory Steady-State Response Dataset</w:t>
      </w:r>
    </w:p>
    <w:p>
      <w:pPr>
        <w:spacing w:after="120"/>
        <w:ind w:firstLine="0"/>
        <w:jc w:val="both"/>
      </w:pPr>
      <w:r>
        <w:rPr>
          <w:rFonts w:ascii="Times New Roman" w:hAnsi="Times New Roman"/>
          <w:b w:val="0"/>
          <w:i w:val="0"/>
          <w:sz w:val="20"/>
        </w:rPr>
        <w:t>This study will utilize the OpenNeuro ds005048 dataset, which contains high-density EEG recordings during 40 Hz auditory steady-state stimulation. The dataset was designed to investigate gamma entrainment and auditory steady-state responses (ASSR) in healthy adults.</w:t>
      </w:r>
    </w:p>
    <w:p>
      <w:pPr>
        <w:pStyle w:val="Heading2"/>
        <w:jc w:val="left"/>
      </w:pPr>
      <w:r>
        <w:rPr>
          <w:rFonts w:ascii="Times New Roman" w:hAnsi="Times New Roman"/>
          <w:b/>
          <w:color w:val="000000"/>
          <w:sz w:val="20"/>
        </w:rPr>
        <w:t>B. Dataset Specifications</w:t>
      </w:r>
    </w:p>
    <w:p>
      <w:pPr>
        <w:spacing w:after="120"/>
        <w:ind w:firstLine="0"/>
        <w:jc w:val="both"/>
      </w:pPr>
      <w:r>
        <w:rPr>
          <w:rFonts w:ascii="Times New Roman" w:hAnsi="Times New Roman"/>
          <w:b w:val="0"/>
          <w:i w:val="0"/>
          <w:sz w:val="20"/>
        </w:rPr>
        <w:t>Key characteristics of the dataset include:</w:t>
      </w:r>
    </w:p>
    <w:p>
      <w:pPr>
        <w:spacing w:after="120"/>
        <w:ind w:left="360"/>
      </w:pPr>
      <w:r>
        <w:rPr>
          <w:rFonts w:ascii="Times New Roman" w:hAnsi="Times New Roman"/>
          <w:sz w:val="20"/>
        </w:rPr>
        <w:t>• Participants: 20-40 healthy adult subjects (ages 18-35 years)</w:t>
        <w:br/>
      </w:r>
      <w:r>
        <w:rPr>
          <w:rFonts w:ascii="Times New Roman" w:hAnsi="Times New Roman"/>
          <w:sz w:val="20"/>
        </w:rPr>
        <w:t>• EEG System: 64-128 channel high-density array (10-10 or 10-5 extended system)</w:t>
        <w:br/>
      </w:r>
      <w:r>
        <w:rPr>
          <w:rFonts w:ascii="Times New Roman" w:hAnsi="Times New Roman"/>
          <w:sz w:val="20"/>
        </w:rPr>
        <w:t>• Sampling Rate: 500-1000 Hz</w:t>
        <w:br/>
      </w:r>
      <w:r>
        <w:rPr>
          <w:rFonts w:ascii="Times New Roman" w:hAnsi="Times New Roman"/>
          <w:sz w:val="20"/>
        </w:rPr>
        <w:t>• Reference: Common average reference or linked mastoids</w:t>
        <w:br/>
      </w:r>
      <w:r>
        <w:rPr>
          <w:rFonts w:ascii="Times New Roman" w:hAnsi="Times New Roman"/>
          <w:sz w:val="20"/>
        </w:rPr>
        <w:t>• Stimulation Protocol: 40 Hz amplitude-modulated tones presented binaurally</w:t>
        <w:br/>
      </w:r>
      <w:r>
        <w:rPr>
          <w:rFonts w:ascii="Times New Roman" w:hAnsi="Times New Roman"/>
          <w:sz w:val="20"/>
        </w:rPr>
        <w:t>• Experimental Conditions: Baseline (resting state), Active stimulation (40 Hz ASSR), Recovery</w:t>
        <w:br/>
      </w:r>
      <w:r>
        <w:rPr>
          <w:rFonts w:ascii="Times New Roman" w:hAnsi="Times New Roman"/>
          <w:sz w:val="20"/>
        </w:rPr>
        <w:t>• Session Duration: 10-20 minutes per condition</w:t>
        <w:br/>
      </w:r>
      <w:r>
        <w:rPr>
          <w:rFonts w:ascii="Times New Roman" w:hAnsi="Times New Roman"/>
          <w:sz w:val="20"/>
        </w:rPr>
        <w:t>• Trials: Multiple blocks with stimulation on/off periods</w:t>
        <w:br/>
      </w:r>
    </w:p>
    <w:p>
      <w:pPr>
        <w:pStyle w:val="Heading2"/>
        <w:jc w:val="left"/>
      </w:pPr>
      <w:r>
        <w:rPr>
          <w:rFonts w:ascii="Times New Roman" w:hAnsi="Times New Roman"/>
          <w:b/>
          <w:color w:val="000000"/>
          <w:sz w:val="20"/>
        </w:rPr>
        <w:t>C. Data Characteristics Relevant to This Study</w:t>
      </w:r>
    </w:p>
    <w:p>
      <w:pPr>
        <w:spacing w:after="120"/>
        <w:ind w:firstLine="0"/>
        <w:jc w:val="both"/>
      </w:pPr>
      <w:r>
        <w:rPr>
          <w:rFonts w:ascii="Times New Roman" w:hAnsi="Times New Roman"/>
          <w:b w:val="0"/>
          <w:i w:val="0"/>
          <w:sz w:val="20"/>
        </w:rPr>
        <w:t>This dataset is ideally suited for our research objectives because it provides direct relevance to 40 Hz auditory stimulation, contains natural state transitions through alternating blocks, offers high temporal resolution for gamma analysis, includes high-density spatial coverage, provides multiple subjects for generalization, and uses standardized protocols for comparison.</w:t>
      </w:r>
    </w:p>
    <w:p>
      <w:pPr>
        <w:pStyle w:val="Heading1"/>
        <w:jc w:val="left"/>
      </w:pPr>
      <w:r>
        <w:rPr>
          <w:rFonts w:ascii="Times New Roman" w:hAnsi="Times New Roman"/>
          <w:b/>
          <w:color w:val="000000"/>
          <w:sz w:val="22"/>
        </w:rPr>
        <w:t>III. DATA PREPROCESSING PIPELINE</w:t>
      </w:r>
    </w:p>
    <w:p>
      <w:pPr>
        <w:pStyle w:val="Heading2"/>
        <w:jc w:val="left"/>
      </w:pPr>
      <w:r>
        <w:rPr>
          <w:rFonts w:ascii="Times New Roman" w:hAnsi="Times New Roman"/>
          <w:b/>
          <w:color w:val="000000"/>
          <w:sz w:val="20"/>
        </w:rPr>
        <w:t>A. Preprocessing Steps</w:t>
      </w:r>
    </w:p>
    <w:p>
      <w:pPr>
        <w:spacing w:after="120"/>
        <w:ind w:firstLine="0"/>
        <w:jc w:val="both"/>
      </w:pPr>
      <w:r>
        <w:rPr>
          <w:rFonts w:ascii="Times New Roman" w:hAnsi="Times New Roman"/>
          <w:b w:val="0"/>
          <w:i w:val="0"/>
          <w:sz w:val="20"/>
        </w:rPr>
        <w:t>The following preprocessing pipeline will be applied to all EEG recordings:</w:t>
      </w:r>
    </w:p>
    <w:p>
      <w:pPr>
        <w:spacing w:after="120"/>
        <w:ind w:firstLine="0"/>
        <w:jc w:val="both"/>
      </w:pPr>
      <w:r>
        <w:rPr>
          <w:rFonts w:ascii="Times New Roman" w:hAnsi="Times New Roman"/>
          <w:b w:val="0"/>
          <w:i w:val="0"/>
          <w:sz w:val="20"/>
        </w:rPr>
        <w:t>1) Import and Channel Selection: Load raw EEG data in BIDS format using MNE-Python. Select 64 standard channels or downsample from 128-channel arrays. Remove non-EEG channels (EOG, ECG, reference).</w:t>
      </w:r>
    </w:p>
    <w:p>
      <w:pPr>
        <w:spacing w:after="120"/>
        <w:ind w:firstLine="0"/>
        <w:jc w:val="both"/>
      </w:pPr>
      <w:r>
        <w:rPr>
          <w:rFonts w:ascii="Times New Roman" w:hAnsi="Times New Roman"/>
          <w:b w:val="0"/>
          <w:i w:val="0"/>
          <w:sz w:val="20"/>
        </w:rPr>
        <w:t>2) Re-referencing: Apply common average reference (CAR) across all channels. Alternative approach uses Surface Laplacian for enhanced spatial specificity.</w:t>
      </w:r>
    </w:p>
    <w:p>
      <w:pPr>
        <w:spacing w:after="120"/>
        <w:ind w:firstLine="0"/>
        <w:jc w:val="both"/>
      </w:pPr>
      <w:r>
        <w:rPr>
          <w:rFonts w:ascii="Times New Roman" w:hAnsi="Times New Roman"/>
          <w:b w:val="0"/>
          <w:i w:val="0"/>
          <w:sz w:val="20"/>
        </w:rPr>
        <w:t>3) High-pass Filtering: Zero-phase Butterworth filter, order 4, cutoff 0.5 Hz removes slow drifts and DC offsets.</w:t>
      </w:r>
    </w:p>
    <w:p>
      <w:pPr>
        <w:spacing w:after="120"/>
        <w:ind w:firstLine="0"/>
        <w:jc w:val="both"/>
      </w:pPr>
      <w:r>
        <w:rPr>
          <w:rFonts w:ascii="Times New Roman" w:hAnsi="Times New Roman"/>
          <w:b w:val="0"/>
          <w:i w:val="0"/>
          <w:sz w:val="20"/>
        </w:rPr>
        <w:t>4) Low-pass Filtering: Zero-phase Butterworth filter, order 4, cutoff 80 Hz retains theta through high-gamma frequencies.</w:t>
      </w:r>
    </w:p>
    <w:p>
      <w:pPr>
        <w:spacing w:after="120"/>
        <w:ind w:firstLine="0"/>
        <w:jc w:val="both"/>
      </w:pPr>
      <w:r>
        <w:rPr>
          <w:rFonts w:ascii="Times New Roman" w:hAnsi="Times New Roman"/>
          <w:b w:val="0"/>
          <w:i w:val="0"/>
          <w:sz w:val="20"/>
        </w:rPr>
        <w:t>5) Notch Filtering: Remove 50/60 Hz line noise and harmonics with quality factor Q=30 (2 Hz bandwidth).</w:t>
      </w:r>
    </w:p>
    <w:p>
      <w:pPr>
        <w:spacing w:after="120"/>
        <w:ind w:firstLine="0"/>
        <w:jc w:val="both"/>
      </w:pPr>
      <w:r>
        <w:rPr>
          <w:rFonts w:ascii="Times New Roman" w:hAnsi="Times New Roman"/>
          <w:b w:val="0"/>
          <w:i w:val="0"/>
          <w:sz w:val="20"/>
        </w:rPr>
        <w:t>6) Artifact Rejection: Automated threshold rejection removes epochs with |amplitude| &gt; 100 μV. Gradient criterion rejects samples with consecutive differences &gt; 50 μV.</w:t>
      </w:r>
    </w:p>
    <w:p>
      <w:pPr>
        <w:spacing w:after="120"/>
        <w:ind w:firstLine="0"/>
        <w:jc w:val="both"/>
      </w:pPr>
      <w:r>
        <w:rPr>
          <w:rFonts w:ascii="Times New Roman" w:hAnsi="Times New Roman"/>
          <w:b w:val="0"/>
          <w:i w:val="0"/>
          <w:sz w:val="20"/>
        </w:rPr>
        <w:t>7) Independent Component Analysis (ICA): Extended Infomax ICA with 64 components. Automated artifact classification using ICLabel removes components classified as eye blink, muscle, or cardiac (probability &gt; 0.8).</w:t>
      </w:r>
    </w:p>
    <w:p>
      <w:pPr>
        <w:spacing w:after="120"/>
        <w:ind w:firstLine="0"/>
        <w:jc w:val="both"/>
      </w:pPr>
      <w:r>
        <w:rPr>
          <w:rFonts w:ascii="Times New Roman" w:hAnsi="Times New Roman"/>
          <w:b w:val="0"/>
          <w:i w:val="0"/>
          <w:sz w:val="20"/>
        </w:rPr>
        <w:t>8) Downsampling (Optional): Downsample to 250 Hz if original sampling rate &gt; 500 Hz to reduce computational load while preserving frequencies up to 125 Hz.</w:t>
      </w:r>
    </w:p>
    <w:p>
      <w:pPr>
        <w:pStyle w:val="Heading2"/>
        <w:jc w:val="left"/>
      </w:pPr>
      <w:r>
        <w:rPr>
          <w:rFonts w:ascii="Times New Roman" w:hAnsi="Times New Roman"/>
          <w:b/>
          <w:color w:val="000000"/>
          <w:sz w:val="20"/>
        </w:rPr>
        <w:t>B. Feature Extraction for Model Training</w:t>
      </w:r>
    </w:p>
    <w:p>
      <w:pPr>
        <w:spacing w:after="120"/>
        <w:ind w:firstLine="0"/>
        <w:jc w:val="both"/>
      </w:pPr>
      <w:r>
        <w:rPr>
          <w:rFonts w:ascii="Times New Roman" w:hAnsi="Times New Roman"/>
          <w:b w:val="0"/>
          <w:i w:val="0"/>
          <w:sz w:val="20"/>
        </w:rPr>
        <w:t>From preprocessed EEG, we extract features for training the predictive model:</w:t>
      </w:r>
    </w:p>
    <w:p>
      <w:pPr>
        <w:spacing w:after="120"/>
        <w:ind w:firstLine="0"/>
        <w:jc w:val="both"/>
      </w:pPr>
      <w:r>
        <w:rPr>
          <w:rFonts w:ascii="Times New Roman" w:hAnsi="Times New Roman"/>
          <w:b w:val="0"/>
          <w:i w:val="0"/>
          <w:sz w:val="20"/>
        </w:rPr>
        <w:t>1) Time-Frequency Decomposition: Morlet wavelet transform (6 cycles) for frequencies 2-80 Hz extracts instantaneous amplitude and phase for each frequency and channel.</w:t>
      </w:r>
    </w:p>
    <w:p>
      <w:pPr>
        <w:spacing w:after="120"/>
        <w:ind w:firstLine="0"/>
        <w:jc w:val="both"/>
      </w:pPr>
      <w:r>
        <w:rPr>
          <w:rFonts w:ascii="Times New Roman" w:hAnsi="Times New Roman"/>
          <w:b w:val="0"/>
          <w:i w:val="0"/>
          <w:sz w:val="20"/>
        </w:rPr>
        <w:t>2) Theta-Gamma PAC Computation: Phase from theta band (4-8 Hz) and amplitude from gamma band (30-80 Hz) are used to compute Modulation Index (MI) in 2-second sliding windows with 1-second overlap, resulting in PAC time series at 1 Hz resolution per channel.</w:t>
      </w:r>
    </w:p>
    <w:p>
      <w:pPr>
        <w:spacing w:after="120"/>
        <w:ind w:firstLine="0"/>
        <w:jc w:val="both"/>
      </w:pPr>
      <w:r>
        <w:rPr>
          <w:rFonts w:ascii="Times New Roman" w:hAnsi="Times New Roman"/>
          <w:b w:val="0"/>
          <w:i w:val="0"/>
          <w:sz w:val="20"/>
        </w:rPr>
        <w:t>3) Spectral Power Features: Average power in canonical bands (delta 1-4 Hz, theta 4-8 Hz, alpha 8-12 Hz, beta 12-30 Hz, gamma 30-80 Hz) computed in same 2-second windows.</w:t>
      </w:r>
    </w:p>
    <w:p>
      <w:pPr>
        <w:spacing w:after="120"/>
        <w:ind w:firstLine="0"/>
        <w:jc w:val="both"/>
      </w:pPr>
      <w:r>
        <w:rPr>
          <w:rFonts w:ascii="Times New Roman" w:hAnsi="Times New Roman"/>
          <w:b w:val="0"/>
          <w:i w:val="0"/>
          <w:sz w:val="20"/>
        </w:rPr>
        <w:t>4) Functional Connectivity: Phase-Locking Value (PLV) between all electrode pairs for theta and gamma bands creates time-varying connectivity matrices.</w:t>
      </w:r>
    </w:p>
    <w:p>
      <w:pPr>
        <w:spacing w:after="120"/>
        <w:ind w:firstLine="0"/>
        <w:jc w:val="both"/>
      </w:pPr>
      <w:r>
        <w:rPr>
          <w:rFonts w:ascii="Times New Roman" w:hAnsi="Times New Roman"/>
          <w:b w:val="0"/>
          <w:i w:val="0"/>
          <w:sz w:val="20"/>
        </w:rPr>
        <w:t>5) Stimulation Labels: Binary indicator for stimulation on/off (1/0), time since stimulation onset/offset, and cumulative stimulation duration in current block.</w:t>
      </w:r>
    </w:p>
    <w:p>
      <w:pPr>
        <w:pStyle w:val="Heading2"/>
        <w:jc w:val="left"/>
      </w:pPr>
      <w:r>
        <w:rPr>
          <w:rFonts w:ascii="Times New Roman" w:hAnsi="Times New Roman"/>
          <w:b/>
          <w:color w:val="000000"/>
          <w:sz w:val="20"/>
        </w:rPr>
        <w:t>C. Quality Control</w:t>
      </w:r>
    </w:p>
    <w:p>
      <w:pPr>
        <w:spacing w:after="120"/>
        <w:ind w:firstLine="0"/>
        <w:jc w:val="both"/>
      </w:pPr>
      <w:r>
        <w:rPr>
          <w:rFonts w:ascii="Times New Roman" w:hAnsi="Times New Roman"/>
          <w:b w:val="0"/>
          <w:i w:val="0"/>
          <w:sz w:val="20"/>
        </w:rPr>
        <w:t>Rigorous quality control ensures data integrity through electrode impedance verification (exclude channels &gt; 10 kΩ), visual inspection of 10% of data, signal-to-noise ratio checks (exclude subjects with SNR &lt; 10 dB in gamma during stimulation), stationarity checks using Augmented Dickey-Fuller test, and cross-validation of ICA classifications with manual expert labeling.</w:t>
      </w:r>
    </w:p>
    <w:p>
      <w:pPr>
        <w:pStyle w:val="Heading1"/>
        <w:jc w:val="left"/>
      </w:pPr>
      <w:r>
        <w:rPr>
          <w:rFonts w:ascii="Times New Roman" w:hAnsi="Times New Roman"/>
          <w:b/>
          <w:color w:val="000000"/>
          <w:sz w:val="22"/>
        </w:rPr>
        <w:t>IV. PROPOSED DEEP LEARNING ARCHITECTURE</w:t>
      </w:r>
    </w:p>
    <w:p>
      <w:pPr>
        <w:pStyle w:val="Heading2"/>
        <w:jc w:val="left"/>
      </w:pPr>
      <w:r>
        <w:rPr>
          <w:rFonts w:ascii="Times New Roman" w:hAnsi="Times New Roman"/>
          <w:b/>
          <w:color w:val="000000"/>
          <w:sz w:val="20"/>
        </w:rPr>
        <w:t>A. Architecture Overview</w:t>
      </w:r>
    </w:p>
    <w:p>
      <w:pPr>
        <w:spacing w:after="120"/>
        <w:ind w:firstLine="0"/>
        <w:jc w:val="both"/>
      </w:pPr>
      <w:r>
        <w:rPr>
          <w:rFonts w:ascii="Times New Roman" w:hAnsi="Times New Roman"/>
          <w:b w:val="0"/>
          <w:i w:val="0"/>
          <w:sz w:val="20"/>
        </w:rPr>
        <w:t>We propose a novel spatiotemporal architecture combining Graph Attention Networks for spatial processing with Transformer encoders for temporal dynamics. The architecture consists of four main components: (1) Input Module with multi-channel EEG and spatial graph structure, (2) Spatial Module with Graph Attention Network for electrode-wise feature extraction, (3) Temporal Module with Transformer encoder for sequence modeling, and (4) Output Module for multi-step ahead prediction of EEG features and PAC values.</w:t>
      </w:r>
    </w:p>
    <w:p>
      <w:pPr>
        <w:pStyle w:val="Heading2"/>
        <w:jc w:val="left"/>
      </w:pPr>
      <w:r>
        <w:rPr>
          <w:rFonts w:ascii="Times New Roman" w:hAnsi="Times New Roman"/>
          <w:b/>
          <w:color w:val="000000"/>
          <w:sz w:val="20"/>
        </w:rPr>
        <w:t>B. Input Representation</w:t>
      </w:r>
    </w:p>
    <w:p>
      <w:pPr>
        <w:spacing w:after="120"/>
        <w:ind w:firstLine="0"/>
        <w:jc w:val="both"/>
      </w:pPr>
      <w:r>
        <w:rPr>
          <w:rFonts w:ascii="Times New Roman" w:hAnsi="Times New Roman"/>
          <w:b w:val="0"/>
          <w:i w:val="0"/>
          <w:sz w:val="20"/>
        </w:rPr>
        <w:t>The input to the model consists of multi-channel EEG X ∈ R^(T×C×F) where T is the number of time steps (10 seconds at 1 Hz = 10 steps), C is the number of channels (64), and F is the number of features per channel (spectral power in 5 bands plus PAC values).</w:t>
      </w:r>
    </w:p>
    <w:p>
      <w:pPr>
        <w:spacing w:after="120"/>
        <w:ind w:firstLine="0"/>
        <w:jc w:val="both"/>
      </w:pPr>
      <w:r>
        <w:rPr>
          <w:rFonts w:ascii="Times New Roman" w:hAnsi="Times New Roman"/>
          <w:b w:val="0"/>
          <w:i w:val="0"/>
          <w:sz w:val="20"/>
        </w:rPr>
        <w:t>Graph Structure: Electrode positions form graph nodes with edges defined through spatial connectivity (k-nearest neighbors with k=5 based on 3D electrode coordinates) and functional connectivity (PLV-weighted edges between electrodes with strong phase-locking, threshold PLV &gt; 0.3). Contextual features include stimulation state (on/off), time since last state change, and subject ID for multi-subject training.</w:t>
      </w:r>
    </w:p>
    <w:p>
      <w:pPr>
        <w:pStyle w:val="Heading2"/>
        <w:jc w:val="left"/>
      </w:pPr>
      <w:r>
        <w:rPr>
          <w:rFonts w:ascii="Times New Roman" w:hAnsi="Times New Roman"/>
          <w:b/>
          <w:color w:val="000000"/>
          <w:sz w:val="20"/>
        </w:rPr>
        <w:t>C. Graph Attention Network Module</w:t>
      </w:r>
    </w:p>
    <w:p>
      <w:pPr>
        <w:spacing w:after="120"/>
        <w:ind w:firstLine="0"/>
        <w:jc w:val="both"/>
      </w:pPr>
      <w:r>
        <w:rPr>
          <w:rFonts w:ascii="Times New Roman" w:hAnsi="Times New Roman"/>
          <w:b w:val="0"/>
          <w:i w:val="0"/>
          <w:sz w:val="20"/>
        </w:rPr>
        <w:t>The GAT module processes spatial relationships at each time step independently using attention-based aggregation:</w:t>
      </w:r>
    </w:p>
    <w:p>
      <w:pPr>
        <w:spacing w:after="120"/>
        <w:jc w:val="center"/>
      </w:pPr>
      <w:r>
        <w:rPr>
          <w:rFonts w:ascii="Times New Roman" w:hAnsi="Times New Roman"/>
          <w:i/>
          <w:sz w:val="20"/>
        </w:rPr>
        <w:t>h_v^(l+1) = σ(∑_{u∈N(v)} α_vu W^(l) h_u^(l))</w:t>
      </w:r>
    </w:p>
    <w:p>
      <w:pPr>
        <w:spacing w:after="120"/>
        <w:ind w:firstLine="0"/>
        <w:jc w:val="both"/>
      </w:pPr>
      <w:r>
        <w:rPr>
          <w:rFonts w:ascii="Times New Roman" w:hAnsi="Times New Roman"/>
          <w:b w:val="0"/>
          <w:i w:val="0"/>
          <w:sz w:val="20"/>
        </w:rPr>
        <w:t>Architecture specifications: Number of GAT layers L=3 with hidden dimensions 64 → 128 → 64, number of attention heads = 4 (multi-head attention), activation = LeakyReLU (negative slope 0.2), dropout = 0.3 after each GAT layer, and residual connections added every 2 layers for gradient flow. The GAT module learns to aggregate information from spatially and functionally connected electrodes, discovering optimal spatial filters corresponding to neurophysiologically meaningful patterns.</w:t>
      </w:r>
    </w:p>
    <w:p>
      <w:pPr>
        <w:pStyle w:val="Heading2"/>
        <w:jc w:val="left"/>
      </w:pPr>
      <w:r>
        <w:rPr>
          <w:rFonts w:ascii="Times New Roman" w:hAnsi="Times New Roman"/>
          <w:b/>
          <w:color w:val="000000"/>
          <w:sz w:val="20"/>
        </w:rPr>
        <w:t>D. Temporal Transformer Module</w:t>
      </w:r>
    </w:p>
    <w:p>
      <w:pPr>
        <w:spacing w:after="120"/>
        <w:ind w:firstLine="0"/>
        <w:jc w:val="both"/>
      </w:pPr>
      <w:r>
        <w:rPr>
          <w:rFonts w:ascii="Times New Roman" w:hAnsi="Times New Roman"/>
          <w:b w:val="0"/>
          <w:i w:val="0"/>
          <w:sz w:val="20"/>
        </w:rPr>
        <w:t>After spatial feature extraction, the sequence of graph-level representations is processed by Transformer encoder blocks combining multi-head attention with position-wise feed-forward networks:</w:t>
      </w:r>
    </w:p>
    <w:p>
      <w:pPr>
        <w:spacing w:after="120"/>
        <w:jc w:val="center"/>
      </w:pPr>
      <w:r>
        <w:rPr>
          <w:rFonts w:ascii="Times New Roman" w:hAnsi="Times New Roman"/>
          <w:i/>
          <w:sz w:val="20"/>
        </w:rPr>
        <w:t>Z = MultiHeadAttention(Q, K, V) + X</w:t>
      </w:r>
    </w:p>
    <w:p>
      <w:pPr>
        <w:spacing w:after="120"/>
        <w:jc w:val="center"/>
      </w:pPr>
      <w:r>
        <w:rPr>
          <w:rFonts w:ascii="Times New Roman" w:hAnsi="Times New Roman"/>
          <w:i/>
          <w:sz w:val="20"/>
        </w:rPr>
        <w:t>Output = FFN(LayerNorm(Z)) + Z</w:t>
      </w:r>
    </w:p>
    <w:p>
      <w:pPr>
        <w:spacing w:after="120"/>
        <w:ind w:firstLine="0"/>
        <w:jc w:val="both"/>
      </w:pPr>
      <w:r>
        <w:rPr>
          <w:rFonts w:ascii="Times New Roman" w:hAnsi="Times New Roman"/>
          <w:b w:val="0"/>
          <w:i w:val="0"/>
          <w:sz w:val="20"/>
        </w:rPr>
        <w:t>Architecture specifications: Number of encoder blocks = 4, model dimension d_model = 256, number of attention heads = 8, feed-forward dimension d_ff = 1024, dropout = 0.1 in attention and FFN, positional encoding = sinusoidal (learned alternative tested), and attention mechanism = scaled dot-product with causal masking for autoregressive prediction. The Transformer captures long-range temporal dependencies, learning relationships between current brain states and future PAC dynamics.</w:t>
      </w:r>
    </w:p>
    <w:p>
      <w:pPr>
        <w:pStyle w:val="Heading2"/>
        <w:jc w:val="left"/>
      </w:pPr>
      <w:r>
        <w:rPr>
          <w:rFonts w:ascii="Times New Roman" w:hAnsi="Times New Roman"/>
          <w:b/>
          <w:color w:val="000000"/>
          <w:sz w:val="20"/>
        </w:rPr>
        <w:t>E. Output Prediction Head</w:t>
      </w:r>
    </w:p>
    <w:p>
      <w:pPr>
        <w:spacing w:after="120"/>
        <w:ind w:firstLine="0"/>
        <w:jc w:val="both"/>
      </w:pPr>
      <w:r>
        <w:rPr>
          <w:rFonts w:ascii="Times New Roman" w:hAnsi="Times New Roman"/>
          <w:b w:val="0"/>
          <w:i w:val="0"/>
          <w:sz w:val="20"/>
        </w:rPr>
        <w:t>The final module generates multi-step ahead predictions with prediction horizon H=5-10 seconds. The output includes theta-gamma PAC values for each electrode and future time step (C × H dimensions), gamma power envelopes (C × H), theta power (C × H), and a global PAC metric averaging across frontal electrodes as the target for MPC. Multi-task learning predicts all quantities jointly, leveraging shared representations and improving generalization.</w:t>
      </w:r>
    </w:p>
    <w:p>
      <w:pPr>
        <w:pStyle w:val="Heading2"/>
        <w:jc w:val="left"/>
      </w:pPr>
      <w:r>
        <w:rPr>
          <w:rFonts w:ascii="Times New Roman" w:hAnsi="Times New Roman"/>
          <w:b/>
          <w:color w:val="000000"/>
          <w:sz w:val="20"/>
        </w:rPr>
        <w:t>F. Alternative Architecture: GAT-LSTM</w:t>
      </w:r>
    </w:p>
    <w:p>
      <w:pPr>
        <w:spacing w:after="120"/>
        <w:ind w:firstLine="0"/>
        <w:jc w:val="both"/>
      </w:pPr>
      <w:r>
        <w:rPr>
          <w:rFonts w:ascii="Times New Roman" w:hAnsi="Times New Roman"/>
          <w:b w:val="0"/>
          <w:i w:val="0"/>
          <w:sz w:val="20"/>
        </w:rPr>
        <w:t>As a comparison baseline, we will also implement a GAT-LSTM architecture where the Transformer is replaced with 2 BiLSTM layers with hidden size 256, dropout 0.3 between layers, and similar output prediction head. This comparison will reveal whether self-attention mechanisms provide advantages over recurrent processing for EEG prediction tasks.</w:t>
      </w:r>
    </w:p>
    <w:p>
      <w:pPr>
        <w:pStyle w:val="Heading1"/>
        <w:jc w:val="left"/>
      </w:pPr>
      <w:r>
        <w:rPr>
          <w:rFonts w:ascii="Times New Roman" w:hAnsi="Times New Roman"/>
          <w:b/>
          <w:color w:val="000000"/>
          <w:sz w:val="22"/>
        </w:rPr>
        <w:t>V. MODEL PREDICTIVE CONTROL FRAMEWORK</w:t>
      </w:r>
    </w:p>
    <w:p>
      <w:pPr>
        <w:pStyle w:val="Heading2"/>
        <w:jc w:val="left"/>
      </w:pPr>
      <w:r>
        <w:rPr>
          <w:rFonts w:ascii="Times New Roman" w:hAnsi="Times New Roman"/>
          <w:b/>
          <w:color w:val="000000"/>
          <w:sz w:val="20"/>
        </w:rPr>
        <w:t>A. MPC Formulation</w:t>
      </w:r>
    </w:p>
    <w:p>
      <w:pPr>
        <w:spacing w:after="120"/>
        <w:ind w:firstLine="0"/>
        <w:jc w:val="both"/>
      </w:pPr>
      <w:r>
        <w:rPr>
          <w:rFonts w:ascii="Times New Roman" w:hAnsi="Times New Roman"/>
          <w:b w:val="0"/>
          <w:i w:val="0"/>
          <w:sz w:val="20"/>
        </w:rPr>
        <w:t>Model Predictive Control optimizes stimulation decisions by solving a constrained optimization problem at each time step based on predicted future states:</w:t>
      </w:r>
    </w:p>
    <w:p>
      <w:pPr>
        <w:spacing w:after="120"/>
        <w:jc w:val="center"/>
      </w:pPr>
      <w:r>
        <w:rPr>
          <w:rFonts w:ascii="Times New Roman" w:hAnsi="Times New Roman"/>
          <w:i/>
          <w:sz w:val="20"/>
        </w:rPr>
        <w:t>min_{u_{t:t+H}} J = ∑_{k=t}^{t+H} [Q·(PAC_ref - PAC_k)² + R·u_k² + S·Δu_k²]</w:t>
      </w:r>
    </w:p>
    <w:p>
      <w:pPr>
        <w:spacing w:after="120"/>
        <w:ind w:firstLine="0"/>
        <w:jc w:val="both"/>
      </w:pPr>
      <w:r>
        <w:rPr>
          <w:rFonts w:ascii="Times New Roman" w:hAnsi="Times New Roman"/>
          <w:b w:val="0"/>
          <w:i w:val="0"/>
          <w:sz w:val="20"/>
        </w:rPr>
        <w:t>Subject to constraints: Safety constraint limits total stimulation duration &lt; T_max per window (e.g., 60% duty cycle), minimum off-time requires at least 2 seconds between stimulation periods, control bounds enforce u_k ∈ {0, 1} (binary on/off control), and rate limits impose maximum 10 on/off transitions per minute.</w:t>
      </w:r>
    </w:p>
    <w:p>
      <w:pPr>
        <w:pStyle w:val="Heading2"/>
        <w:jc w:val="left"/>
      </w:pPr>
      <w:r>
        <w:rPr>
          <w:rFonts w:ascii="Times New Roman" w:hAnsi="Times New Roman"/>
          <w:b/>
          <w:color w:val="000000"/>
          <w:sz w:val="20"/>
        </w:rPr>
        <w:t>B. State Space Representation</w:t>
      </w:r>
    </w:p>
    <w:p>
      <w:pPr>
        <w:spacing w:after="120"/>
        <w:ind w:firstLine="0"/>
        <w:jc w:val="both"/>
      </w:pPr>
      <w:r>
        <w:rPr>
          <w:rFonts w:ascii="Times New Roman" w:hAnsi="Times New Roman"/>
          <w:b w:val="0"/>
          <w:i w:val="0"/>
          <w:sz w:val="20"/>
        </w:rPr>
        <w:t>The system state at time t comprises theta power, gamma power, current PAC, previous control input, and time since last stimulation state change. The prediction model provides state evolution x_{t+1:t+H} = f_DL(x_{t-L:t}, u_t) where f_DL is the trained deep learning model, L is the lookback window (10 seconds), and H is the prediction horizon (5-10 seconds).</w:t>
      </w:r>
    </w:p>
    <w:p>
      <w:pPr>
        <w:pStyle w:val="Heading2"/>
        <w:jc w:val="left"/>
      </w:pPr>
      <w:r>
        <w:rPr>
          <w:rFonts w:ascii="Times New Roman" w:hAnsi="Times New Roman"/>
          <w:b/>
          <w:color w:val="000000"/>
          <w:sz w:val="20"/>
        </w:rPr>
        <w:t>C. Cost Function Design</w:t>
      </w:r>
    </w:p>
    <w:p>
      <w:pPr>
        <w:spacing w:after="120"/>
        <w:ind w:firstLine="0"/>
        <w:jc w:val="both"/>
      </w:pPr>
      <w:r>
        <w:rPr>
          <w:rFonts w:ascii="Times New Roman" w:hAnsi="Times New Roman"/>
          <w:b w:val="0"/>
          <w:i w:val="0"/>
          <w:sz w:val="20"/>
        </w:rPr>
        <w:t>The cost function balances three objectives: (1) Tracking Error (Weight Q=10) penalizes deviation from reference PAC value (PAC_ref = 1.5× baseline PAC), encouraging maintenance of elevated theta-gamma coupling; (2) Control Effort (Weight R=1) penalizes stimulation being on, minimizing total stimulation time and promoting energy efficiency; (3) Control Rate (Weight S=5) penalizes rapid changes in stimulation state, encouraging smooth, stable control policies. Weight tuning will be performed via grid search to achieve desired trade-offs.</w:t>
      </w:r>
    </w:p>
    <w:p>
      <w:pPr>
        <w:pStyle w:val="Heading2"/>
        <w:jc w:val="left"/>
      </w:pPr>
      <w:r>
        <w:rPr>
          <w:rFonts w:ascii="Times New Roman" w:hAnsi="Times New Roman"/>
          <w:b/>
          <w:color w:val="000000"/>
          <w:sz w:val="20"/>
        </w:rPr>
        <w:t>D. Optimization Algorithm</w:t>
      </w:r>
    </w:p>
    <w:p>
      <w:pPr>
        <w:spacing w:after="120"/>
        <w:ind w:firstLine="0"/>
        <w:jc w:val="both"/>
      </w:pPr>
      <w:r>
        <w:rPr>
          <w:rFonts w:ascii="Times New Roman" w:hAnsi="Times New Roman"/>
          <w:b w:val="0"/>
          <w:i w:val="0"/>
          <w:sz w:val="20"/>
        </w:rPr>
        <w:t>Given the binary control variable (on/off stimulation), we employ Mixed-Integer Quadratic Programming (MIQP) solvers such as GUROBI, CPLEX, or CBC (open-source). Real-time constraints require solution within 100 ms. Warm-start initialization uses the previous solution shifted by one time step. The receding horizon approach applies only u_t, then repeats optimization at t+1. For faster computation, relaxation to continuous control u ∈ [0,1] may be considered with subsequent thresholding to binary decisions.</w:t>
      </w:r>
    </w:p>
    <w:p>
      <w:pPr>
        <w:pStyle w:val="Heading2"/>
        <w:jc w:val="left"/>
      </w:pPr>
      <w:r>
        <w:rPr>
          <w:rFonts w:ascii="Times New Roman" w:hAnsi="Times New Roman"/>
          <w:b/>
          <w:color w:val="000000"/>
          <w:sz w:val="20"/>
        </w:rPr>
        <w:t>E. Adaptive MPC with Online Learning</w:t>
      </w:r>
    </w:p>
    <w:p>
      <w:pPr>
        <w:spacing w:after="120"/>
        <w:ind w:firstLine="0"/>
        <w:jc w:val="both"/>
      </w:pPr>
      <w:r>
        <w:rPr>
          <w:rFonts w:ascii="Times New Roman" w:hAnsi="Times New Roman"/>
          <w:b w:val="0"/>
          <w:i w:val="0"/>
          <w:sz w:val="20"/>
        </w:rPr>
        <w:t>To account for model mismatch and inter-subject variability, we incorporate online adaptation: (1) Prediction Error Monitoring tracks discrepancy between predicted and observed PAC; (2) Parameter Update triggers fine-tuning if error exceeds threshold (RMSE &gt; 0.1 for 3 consecutive steps); (3) Incremental Learning updates model weights using recent observations via gradient descent (learning rate 1e-5); (4) Constraint Adaptation adjusts safety constraints based on observed physiological responses. This ensures robustness to non-stationarities and individualization.</w:t>
      </w:r>
    </w:p>
    <w:p>
      <w:pPr>
        <w:pStyle w:val="Heading1"/>
        <w:jc w:val="left"/>
      </w:pPr>
      <w:r>
        <w:rPr>
          <w:rFonts w:ascii="Times New Roman" w:hAnsi="Times New Roman"/>
          <w:b/>
          <w:color w:val="000000"/>
          <w:sz w:val="22"/>
        </w:rPr>
        <w:t>VI. TRAINING STRATEGY</w:t>
      </w:r>
    </w:p>
    <w:p>
      <w:pPr>
        <w:pStyle w:val="Heading2"/>
        <w:jc w:val="left"/>
      </w:pPr>
      <w:r>
        <w:rPr>
          <w:rFonts w:ascii="Times New Roman" w:hAnsi="Times New Roman"/>
          <w:b/>
          <w:color w:val="000000"/>
          <w:sz w:val="20"/>
        </w:rPr>
        <w:t>A. Data Splitting Strategy</w:t>
      </w:r>
    </w:p>
    <w:p>
      <w:pPr>
        <w:spacing w:after="120"/>
        <w:ind w:firstLine="0"/>
        <w:jc w:val="both"/>
      </w:pPr>
      <w:r>
        <w:rPr>
          <w:rFonts w:ascii="Times New Roman" w:hAnsi="Times New Roman"/>
          <w:b w:val="0"/>
          <w:i w:val="0"/>
          <w:sz w:val="20"/>
        </w:rPr>
        <w:t>To ensure robust evaluation and prevent data leakage, we employ subject-level splitting: Training Set (60% of subjects), Validation Set (20% of subjects) for hyperparameter tuning, and Test Set (20% of subjects) held out for final evaluation. Stratification balances by age, sex, and baseline PAC levels. Within each subject's data, we maintain temporal ordering with first 70% for training, next 15% for validation, and last 15% for subject-specific testing.</w:t>
      </w:r>
    </w:p>
    <w:p>
      <w:pPr>
        <w:pStyle w:val="Heading2"/>
        <w:jc w:val="left"/>
      </w:pPr>
      <w:r>
        <w:rPr>
          <w:rFonts w:ascii="Times New Roman" w:hAnsi="Times New Roman"/>
          <w:b/>
          <w:color w:val="000000"/>
          <w:sz w:val="20"/>
        </w:rPr>
        <w:t>B. Training Procedure</w:t>
      </w:r>
    </w:p>
    <w:p>
      <w:pPr>
        <w:spacing w:after="120"/>
        <w:ind w:firstLine="0"/>
        <w:jc w:val="both"/>
      </w:pPr>
      <w:r>
        <w:rPr>
          <w:rFonts w:ascii="Times New Roman" w:hAnsi="Times New Roman"/>
          <w:b w:val="0"/>
          <w:i w:val="0"/>
          <w:sz w:val="20"/>
        </w:rPr>
        <w:t>The model training follows a multi-stage protocol:</w:t>
      </w:r>
    </w:p>
    <w:p>
      <w:pPr>
        <w:spacing w:after="120"/>
        <w:ind w:firstLine="0"/>
        <w:jc w:val="both"/>
      </w:pPr>
      <w:r>
        <w:rPr>
          <w:rFonts w:ascii="Times New Roman" w:hAnsi="Times New Roman"/>
          <w:b w:val="0"/>
          <w:i w:val="0"/>
          <w:sz w:val="20"/>
        </w:rPr>
        <w:t>Stage 1: Pre-training on Multi-Subject Data (Epochs 1-50) aims to learn general EEG dynamics and stimulation response patterns. Parameters: batch size 32 (each sample = 10-second window), learning rate 1e-3 with cosine annealing, optimizer AdamW (weight decay 1e-4), multi-task loss combining MSE for PAC prediction and spectral power with auxiliary reconstruction loss (weights λ₁=1.0, λ₂=0.5, λ₃=0.3), and early stopping with patience of 10 epochs on validation loss.</w:t>
      </w:r>
    </w:p>
    <w:p>
      <w:pPr>
        <w:spacing w:after="120"/>
        <w:ind w:firstLine="0"/>
        <w:jc w:val="both"/>
      </w:pPr>
      <w:r>
        <w:rPr>
          <w:rFonts w:ascii="Times New Roman" w:hAnsi="Times New Roman"/>
          <w:b w:val="0"/>
          <w:i w:val="0"/>
          <w:sz w:val="20"/>
        </w:rPr>
        <w:t>Stage 2: Subject-Specific Fine-Tuning (Epochs 51-70) adapts to individual subject characteristics. Initialize with pre-trained weights, freeze GAT spatial layers to keep general spatial patterns, fine-tune Transformer temporal layers and output head with learning rate 1e-4 (10× smaller), and apply increased dropout (0.4) and L2 penalty to prevent overfitting on limited subject data.</w:t>
      </w:r>
    </w:p>
    <w:p>
      <w:pPr>
        <w:pStyle w:val="Heading2"/>
        <w:jc w:val="left"/>
      </w:pPr>
      <w:r>
        <w:rPr>
          <w:rFonts w:ascii="Times New Roman" w:hAnsi="Times New Roman"/>
          <w:b/>
          <w:color w:val="000000"/>
          <w:sz w:val="20"/>
        </w:rPr>
        <w:t>C. Loss Function Components</w:t>
      </w:r>
    </w:p>
    <w:p>
      <w:pPr>
        <w:spacing w:after="120"/>
        <w:ind w:firstLine="0"/>
        <w:jc w:val="both"/>
      </w:pPr>
      <w:r>
        <w:rPr>
          <w:rFonts w:ascii="Times New Roman" w:hAnsi="Times New Roman"/>
          <w:b w:val="0"/>
          <w:i w:val="0"/>
          <w:sz w:val="20"/>
        </w:rPr>
        <w:t>The total loss combines four components:</w:t>
      </w:r>
    </w:p>
    <w:p>
      <w:pPr>
        <w:spacing w:after="120"/>
        <w:ind w:firstLine="0"/>
        <w:jc w:val="both"/>
      </w:pPr>
      <w:r>
        <w:rPr>
          <w:rFonts w:ascii="Times New Roman" w:hAnsi="Times New Roman"/>
          <w:b w:val="0"/>
          <w:i w:val="0"/>
          <w:sz w:val="20"/>
        </w:rPr>
        <w:t>1) PAC Prediction Loss: Mean squared error between predicted and true PAC values across all channels and time horizons.</w:t>
      </w:r>
    </w:p>
    <w:p>
      <w:pPr>
        <w:spacing w:after="120"/>
        <w:ind w:firstLine="0"/>
        <w:jc w:val="both"/>
      </w:pPr>
      <w:r>
        <w:rPr>
          <w:rFonts w:ascii="Times New Roman" w:hAnsi="Times New Roman"/>
          <w:b w:val="0"/>
          <w:i w:val="0"/>
          <w:sz w:val="20"/>
        </w:rPr>
        <w:t>2) Spectral Power Loss: MSE for theta and gamma power predictions.</w:t>
      </w:r>
    </w:p>
    <w:p>
      <w:pPr>
        <w:spacing w:after="120"/>
        <w:ind w:firstLine="0"/>
        <w:jc w:val="both"/>
      </w:pPr>
      <w:r>
        <w:rPr>
          <w:rFonts w:ascii="Times New Roman" w:hAnsi="Times New Roman"/>
          <w:b w:val="0"/>
          <w:i w:val="0"/>
          <w:sz w:val="20"/>
        </w:rPr>
        <w:t>3) Reconstruction Loss: Autoencoder-style reconstruction of input features from latent representations, encouraging meaningful embedding.</w:t>
      </w:r>
    </w:p>
    <w:p>
      <w:pPr>
        <w:spacing w:after="120"/>
        <w:ind w:firstLine="0"/>
        <w:jc w:val="both"/>
      </w:pPr>
      <w:r>
        <w:rPr>
          <w:rFonts w:ascii="Times New Roman" w:hAnsi="Times New Roman"/>
          <w:b w:val="0"/>
          <w:i w:val="0"/>
          <w:sz w:val="20"/>
        </w:rPr>
        <w:t>4) Temporal Consistency Loss: Penalizes unrealistic sudden jumps in predictions to ensure smooth temporal evolution.</w:t>
      </w:r>
    </w:p>
    <w:p>
      <w:pPr>
        <w:pStyle w:val="Heading2"/>
        <w:jc w:val="left"/>
      </w:pPr>
      <w:r>
        <w:rPr>
          <w:rFonts w:ascii="Times New Roman" w:hAnsi="Times New Roman"/>
          <w:b/>
          <w:color w:val="000000"/>
          <w:sz w:val="20"/>
        </w:rPr>
        <w:t>D. Leave-One-Subject-Out Cross-Validation</w:t>
      </w:r>
    </w:p>
    <w:p>
      <w:pPr>
        <w:spacing w:after="120"/>
        <w:ind w:firstLine="0"/>
        <w:jc w:val="both"/>
      </w:pPr>
      <w:r>
        <w:rPr>
          <w:rFonts w:ascii="Times New Roman" w:hAnsi="Times New Roman"/>
          <w:b w:val="0"/>
          <w:i w:val="0"/>
          <w:sz w:val="20"/>
        </w:rPr>
        <w:t>To assess generalization to completely unseen subjects, we perform LOSO-CV by iterating through each subject s, training on all other subjects, validating hyperparameters on subset of training subjects, and testing on held-out subject s. Metrics compute prediction accuracy (R², RMSE) and closed-loop performance for each fold, with aggregate results reported as mean ± std across all subjects. LOSO-CV provides the most conservative estimate of performance on new users, critical for clinical translation.</w:t>
      </w:r>
    </w:p>
    <w:p>
      <w:pPr>
        <w:pStyle w:val="Heading2"/>
        <w:jc w:val="left"/>
      </w:pPr>
      <w:r>
        <w:rPr>
          <w:rFonts w:ascii="Times New Roman" w:hAnsi="Times New Roman"/>
          <w:b/>
          <w:color w:val="000000"/>
          <w:sz w:val="20"/>
        </w:rPr>
        <w:t>E. Hyperparameter Optimization</w:t>
      </w:r>
    </w:p>
    <w:p>
      <w:pPr>
        <w:spacing w:after="120"/>
        <w:ind w:firstLine="0"/>
        <w:jc w:val="both"/>
      </w:pPr>
      <w:r>
        <w:rPr>
          <w:rFonts w:ascii="Times New Roman" w:hAnsi="Times New Roman"/>
          <w:b w:val="0"/>
          <w:i w:val="0"/>
          <w:sz w:val="20"/>
        </w:rPr>
        <w:t>Key hyperparameters optimized via Bayesian optimization (Optuna library) include architecture parameters (number of GAT layers 2-4, Transformer blocks 2-6, attention heads 4-8), regularization (dropout rates 0.1-0.5, weight decay 1e-5 to 1e-3), training parameters (learning rate 1e-4 to 1e-2, batch size 16-64), input lookback window length (5-15 seconds), output prediction horizon (3-10 seconds), and graph structure (number of spatial neighbors k=3-8). The objective minimizes validation set PAC prediction RMSE across 100 trials with early stopping on unpromising configurations.</w:t>
      </w:r>
    </w:p>
    <w:p>
      <w:pPr>
        <w:pStyle w:val="Heading1"/>
        <w:jc w:val="left"/>
      </w:pPr>
      <w:r>
        <w:rPr>
          <w:rFonts w:ascii="Times New Roman" w:hAnsi="Times New Roman"/>
          <w:b/>
          <w:color w:val="000000"/>
          <w:sz w:val="22"/>
        </w:rPr>
        <w:t>VII. IN SILICO VALIDATION METHODOLOGY</w:t>
      </w:r>
    </w:p>
    <w:p>
      <w:pPr>
        <w:pStyle w:val="Heading2"/>
        <w:jc w:val="left"/>
      </w:pPr>
      <w:r>
        <w:rPr>
          <w:rFonts w:ascii="Times New Roman" w:hAnsi="Times New Roman"/>
          <w:b/>
          <w:color w:val="000000"/>
          <w:sz w:val="20"/>
        </w:rPr>
        <w:t>A. Simulation Framework</w:t>
      </w:r>
    </w:p>
    <w:p>
      <w:pPr>
        <w:spacing w:after="120"/>
        <w:ind w:firstLine="0"/>
        <w:jc w:val="both"/>
      </w:pPr>
      <w:r>
        <w:rPr>
          <w:rFonts w:ascii="Times New Roman" w:hAnsi="Times New Roman"/>
          <w:b w:val="0"/>
          <w:i w:val="0"/>
          <w:sz w:val="20"/>
        </w:rPr>
        <w:t>We validate the closed-loop system through offline simulations using held-out test data. The simulation environment emulates real-time operation: (1) Initialize by loading test subject EEG data, trained predictive model, and MPC controller; (2) Time Loop iterates through each second t in the recording to observe current EEG state, run prediction model for x_{t+1:t+H}, solve MPC problem for control u_t, apply stimulation on/off decision, observe actual recorded EEG response, and log all predictions, states, and control decisions; (3) Evaluate by computing performance metrics over entire simulation. This approach tests closed-loop performance using actual physiological responses from the dataset, providing realistic validation without requiring new experiments.</w:t>
      </w:r>
    </w:p>
    <w:p>
      <w:pPr>
        <w:pStyle w:val="Heading2"/>
        <w:jc w:val="left"/>
      </w:pPr>
      <w:r>
        <w:rPr>
          <w:rFonts w:ascii="Times New Roman" w:hAnsi="Times New Roman"/>
          <w:b/>
          <w:color w:val="000000"/>
          <w:sz w:val="20"/>
        </w:rPr>
        <w:t>B. Baseline Comparisons</w:t>
      </w:r>
    </w:p>
    <w:p>
      <w:pPr>
        <w:spacing w:after="120"/>
        <w:ind w:firstLine="0"/>
        <w:jc w:val="both"/>
      </w:pPr>
      <w:r>
        <w:rPr>
          <w:rFonts w:ascii="Times New Roman" w:hAnsi="Times New Roman"/>
          <w:b w:val="0"/>
          <w:i w:val="0"/>
          <w:sz w:val="20"/>
        </w:rPr>
        <w:t>We compare the MPC closed-loop system against multiple baselines:</w:t>
      </w:r>
    </w:p>
    <w:p>
      <w:pPr>
        <w:spacing w:after="120"/>
        <w:ind w:firstLine="0"/>
        <w:jc w:val="both"/>
      </w:pPr>
      <w:r>
        <w:rPr>
          <w:rFonts w:ascii="Times New Roman" w:hAnsi="Times New Roman"/>
          <w:b w:val="0"/>
          <w:i w:val="0"/>
          <w:sz w:val="20"/>
        </w:rPr>
        <w:t>1) Open-Loop Continuous: Constant 40 Hz stimulation representing current state-of-practice with 100% duty cycle.</w:t>
      </w:r>
    </w:p>
    <w:p>
      <w:pPr>
        <w:spacing w:after="120"/>
        <w:ind w:firstLine="0"/>
        <w:jc w:val="both"/>
      </w:pPr>
      <w:r>
        <w:rPr>
          <w:rFonts w:ascii="Times New Roman" w:hAnsi="Times New Roman"/>
          <w:b w:val="0"/>
          <w:i w:val="0"/>
          <w:sz w:val="20"/>
        </w:rPr>
        <w:t>2) Open-Loop Intermittent: Fixed on/off schedule (e.g., 30 seconds on, 30 seconds off) with 50% duty cycle to test whether any intermittent protocol helps.</w:t>
      </w:r>
    </w:p>
    <w:p>
      <w:pPr>
        <w:spacing w:after="120"/>
        <w:ind w:firstLine="0"/>
        <w:jc w:val="both"/>
      </w:pPr>
      <w:r>
        <w:rPr>
          <w:rFonts w:ascii="Times New Roman" w:hAnsi="Times New Roman"/>
          <w:b w:val="0"/>
          <w:i w:val="0"/>
          <w:sz w:val="20"/>
        </w:rPr>
        <w:t>3) Reactive Closed-Loop: Threshold-based control that turns on stimulation if current PAC &lt; threshold and turns off if PAC &gt; threshold, with no predictive element.</w:t>
      </w:r>
    </w:p>
    <w:p>
      <w:pPr>
        <w:spacing w:after="120"/>
        <w:ind w:firstLine="0"/>
        <w:jc w:val="both"/>
      </w:pPr>
      <w:r>
        <w:rPr>
          <w:rFonts w:ascii="Times New Roman" w:hAnsi="Times New Roman"/>
          <w:b w:val="0"/>
          <w:i w:val="0"/>
          <w:sz w:val="20"/>
        </w:rPr>
        <w:t>4) Predictive Closed-Loop without MPC: Stimulate when model predicts PAC will drop below threshold in next 5 seconds, using prediction but simple rule-based control to isolate benefit of optimization vs. prediction alone.</w:t>
      </w:r>
    </w:p>
    <w:p>
      <w:pPr>
        <w:spacing w:after="120"/>
        <w:ind w:firstLine="0"/>
        <w:jc w:val="both"/>
      </w:pPr>
      <w:r>
        <w:rPr>
          <w:rFonts w:ascii="Times New Roman" w:hAnsi="Times New Roman"/>
          <w:b w:val="0"/>
          <w:i w:val="0"/>
          <w:sz w:val="20"/>
        </w:rPr>
        <w:t>5) Predictive MPC (Proposed): Full system with deep learning prediction plus MPC optimization.</w:t>
      </w:r>
    </w:p>
    <w:p>
      <w:pPr>
        <w:pStyle w:val="Heading2"/>
        <w:jc w:val="left"/>
      </w:pPr>
      <w:r>
        <w:rPr>
          <w:rFonts w:ascii="Times New Roman" w:hAnsi="Times New Roman"/>
          <w:b/>
          <w:color w:val="000000"/>
          <w:sz w:val="20"/>
        </w:rPr>
        <w:t>C. Performance Metrics</w:t>
      </w:r>
    </w:p>
    <w:p>
      <w:pPr>
        <w:spacing w:after="120"/>
        <w:ind w:firstLine="0"/>
        <w:jc w:val="both"/>
      </w:pPr>
      <w:r>
        <w:rPr>
          <w:rFonts w:ascii="Times New Roman" w:hAnsi="Times New Roman"/>
          <w:b w:val="0"/>
          <w:i w:val="0"/>
          <w:sz w:val="20"/>
        </w:rPr>
        <w:t>Comprehensive evaluation metrics assess multiple dimensions:</w:t>
      </w:r>
    </w:p>
    <w:p>
      <w:pPr>
        <w:spacing w:after="120"/>
        <w:ind w:firstLine="0"/>
        <w:jc w:val="both"/>
      </w:pPr>
      <w:r>
        <w:rPr>
          <w:rFonts w:ascii="Times New Roman" w:hAnsi="Times New Roman"/>
          <w:b w:val="0"/>
          <w:i w:val="0"/>
          <w:sz w:val="20"/>
        </w:rPr>
        <w:t>1) PAC Enhancement: Average PAC during intervention vs. baseline, peak PAC achieved, time to reach target PAC level, and percent time above target PAC threshold.</w:t>
      </w:r>
    </w:p>
    <w:p>
      <w:pPr>
        <w:spacing w:after="120"/>
        <w:ind w:firstLine="0"/>
        <w:jc w:val="both"/>
      </w:pPr>
      <w:r>
        <w:rPr>
          <w:rFonts w:ascii="Times New Roman" w:hAnsi="Times New Roman"/>
          <w:b w:val="0"/>
          <w:i w:val="0"/>
          <w:sz w:val="20"/>
        </w:rPr>
        <w:t>2) Gamma Synchronization: Intertrial coherence (ITC) at 40 Hz, phase-locking value between electrodes, and gamma power increase relative to baseline.</w:t>
      </w:r>
    </w:p>
    <w:p>
      <w:pPr>
        <w:spacing w:after="120"/>
        <w:ind w:firstLine="0"/>
        <w:jc w:val="both"/>
      </w:pPr>
      <w:r>
        <w:rPr>
          <w:rFonts w:ascii="Times New Roman" w:hAnsi="Times New Roman"/>
          <w:b w:val="0"/>
          <w:i w:val="0"/>
          <w:sz w:val="20"/>
        </w:rPr>
        <w:t>3) Spatial Coherence: Global functional connectivity (mean PLV across electrode pairs), network efficiency measures from graph theory, and frontal-parietal theta coherence.</w:t>
      </w:r>
    </w:p>
    <w:p>
      <w:pPr>
        <w:spacing w:after="120"/>
        <w:ind w:firstLine="0"/>
        <w:jc w:val="both"/>
      </w:pPr>
      <w:r>
        <w:rPr>
          <w:rFonts w:ascii="Times New Roman" w:hAnsi="Times New Roman"/>
          <w:b w:val="0"/>
          <w:i w:val="0"/>
          <w:sz w:val="20"/>
        </w:rPr>
        <w:t>4) Energy Efficiency: Total stimulation time (seconds or % of session), number of on/off transitions, and PAC enhancement per unit stimulation time (efficiency ratio).</w:t>
      </w:r>
    </w:p>
    <w:p>
      <w:pPr>
        <w:spacing w:after="120"/>
        <w:ind w:firstLine="0"/>
        <w:jc w:val="both"/>
      </w:pPr>
      <w:r>
        <w:rPr>
          <w:rFonts w:ascii="Times New Roman" w:hAnsi="Times New Roman"/>
          <w:b w:val="0"/>
          <w:i w:val="0"/>
          <w:sz w:val="20"/>
        </w:rPr>
        <w:t>5) Prediction Accuracy: Pearson correlation R between predicted and actual PAC, root mean squared error (RMSE), mean absolute error (MAE), and prediction accuracy as function of horizon (1-10 seconds ahead).</w:t>
      </w:r>
    </w:p>
    <w:p>
      <w:pPr>
        <w:pStyle w:val="Heading2"/>
        <w:jc w:val="left"/>
      </w:pPr>
      <w:r>
        <w:rPr>
          <w:rFonts w:ascii="Times New Roman" w:hAnsi="Times New Roman"/>
          <w:b/>
          <w:color w:val="000000"/>
          <w:sz w:val="20"/>
        </w:rPr>
        <w:t>D. Statistical Analysis Plan</w:t>
      </w:r>
    </w:p>
    <w:p>
      <w:pPr>
        <w:spacing w:after="120"/>
        <w:ind w:firstLine="0"/>
        <w:jc w:val="both"/>
      </w:pPr>
      <w:r>
        <w:rPr>
          <w:rFonts w:ascii="Times New Roman" w:hAnsi="Times New Roman"/>
          <w:b w:val="0"/>
          <w:i w:val="0"/>
          <w:sz w:val="20"/>
        </w:rPr>
        <w:t>Rigorous statistical testing ensures result validity:</w:t>
      </w:r>
    </w:p>
    <w:p>
      <w:pPr>
        <w:spacing w:after="120"/>
        <w:ind w:left="360"/>
      </w:pPr>
      <w:r>
        <w:rPr>
          <w:rFonts w:ascii="Times New Roman" w:hAnsi="Times New Roman"/>
          <w:sz w:val="20"/>
        </w:rPr>
        <w:t>• Primary Analysis: Repeated measures ANOVA comparing PAC enhancement across five methods</w:t>
        <w:br/>
      </w:r>
      <w:r>
        <w:rPr>
          <w:rFonts w:ascii="Times New Roman" w:hAnsi="Times New Roman"/>
          <w:sz w:val="20"/>
        </w:rPr>
        <w:t>• Post-hoc: Tukey HSD test for pairwise comparisons</w:t>
        <w:br/>
      </w:r>
      <w:r>
        <w:rPr>
          <w:rFonts w:ascii="Times New Roman" w:hAnsi="Times New Roman"/>
          <w:sz w:val="20"/>
        </w:rPr>
        <w:t>• Effect Size: Cohen d for paired differences</w:t>
        <w:br/>
      </w:r>
      <w:r>
        <w:rPr>
          <w:rFonts w:ascii="Times New Roman" w:hAnsi="Times New Roman"/>
          <w:sz w:val="20"/>
        </w:rPr>
        <w:t>• Non-parametric: Friedman test if normality assumptions violated (Shapiro-Wilk test)</w:t>
        <w:br/>
      </w:r>
      <w:r>
        <w:rPr>
          <w:rFonts w:ascii="Times New Roman" w:hAnsi="Times New Roman"/>
          <w:sz w:val="20"/>
        </w:rPr>
        <w:t>• Correlation Analysis: Spearman correlation between prediction accuracy and closed-loop performance</w:t>
        <w:br/>
      </w:r>
      <w:r>
        <w:rPr>
          <w:rFonts w:ascii="Times New Roman" w:hAnsi="Times New Roman"/>
          <w:sz w:val="20"/>
        </w:rPr>
        <w:t>• Multiple Comparisons: Bonferroni correction for family-wise error rate control</w:t>
        <w:br/>
      </w:r>
      <w:r>
        <w:rPr>
          <w:rFonts w:ascii="Times New Roman" w:hAnsi="Times New Roman"/>
          <w:sz w:val="20"/>
        </w:rPr>
        <w:t>• Significance Level: α = 0.05 (two-tailed)</w:t>
        <w:br/>
      </w:r>
    </w:p>
    <w:p>
      <w:pPr>
        <w:pStyle w:val="Heading2"/>
        <w:jc w:val="left"/>
      </w:pPr>
      <w:r>
        <w:rPr>
          <w:rFonts w:ascii="Times New Roman" w:hAnsi="Times New Roman"/>
          <w:b/>
          <w:color w:val="000000"/>
          <w:sz w:val="20"/>
        </w:rPr>
        <w:t>E. Sensitivity Analysis</w:t>
      </w:r>
    </w:p>
    <w:p>
      <w:pPr>
        <w:spacing w:after="120"/>
        <w:ind w:firstLine="0"/>
        <w:jc w:val="both"/>
      </w:pPr>
      <w:r>
        <w:rPr>
          <w:rFonts w:ascii="Times New Roman" w:hAnsi="Times New Roman"/>
          <w:b w:val="0"/>
          <w:i w:val="0"/>
          <w:sz w:val="20"/>
        </w:rPr>
        <w:t>To assess robustness, we systematically vary key parameters: MPC Weights (vary Q, R, S by ±50%), Prediction Horizon (test H ∈ {3, 5, 7, 10} seconds), Safety Constraints (maximum duty cycle from 40% to 80%), Model Errors (add increasing noise to predictions: 0%, 5%, 10%, 20% RMSE), Graph Structure (compare fixed spatial graphs vs. adaptive functional connectivity), and Initial Conditions (different starting brain states: low, medium, high PAC). Robustness metrics include coefficient of variation across parameter perturbations and maintained performance under degraded prediction accuracy.</w:t>
      </w:r>
    </w:p>
    <w:p>
      <w:pPr>
        <w:pStyle w:val="Heading1"/>
        <w:jc w:val="left"/>
      </w:pPr>
      <w:r>
        <w:rPr>
          <w:rFonts w:ascii="Times New Roman" w:hAnsi="Times New Roman"/>
          <w:b/>
          <w:color w:val="000000"/>
          <w:sz w:val="22"/>
        </w:rPr>
        <w:t>VIII. EXPECTED OUTCOMES AND SIGNIFICANCE</w:t>
      </w:r>
    </w:p>
    <w:p>
      <w:pPr>
        <w:pStyle w:val="Heading2"/>
        <w:jc w:val="left"/>
      </w:pPr>
      <w:r>
        <w:rPr>
          <w:rFonts w:ascii="Times New Roman" w:hAnsi="Times New Roman"/>
          <w:b/>
          <w:color w:val="000000"/>
          <w:sz w:val="20"/>
        </w:rPr>
        <w:t>A. Primary Expected Outcomes</w:t>
      </w:r>
    </w:p>
    <w:p>
      <w:pPr>
        <w:spacing w:after="120"/>
        <w:ind w:firstLine="0"/>
        <w:jc w:val="both"/>
      </w:pPr>
      <w:r>
        <w:rPr>
          <w:rFonts w:ascii="Times New Roman" w:hAnsi="Times New Roman"/>
          <w:b w:val="0"/>
          <w:i w:val="0"/>
          <w:sz w:val="20"/>
        </w:rPr>
        <w:t>Based on preliminary analyses and literature review, we anticipate:</w:t>
      </w:r>
    </w:p>
    <w:p>
      <w:pPr>
        <w:spacing w:after="120"/>
        <w:ind w:firstLine="0"/>
        <w:jc w:val="both"/>
      </w:pPr>
      <w:r>
        <w:rPr>
          <w:rFonts w:ascii="Times New Roman" w:hAnsi="Times New Roman"/>
          <w:b w:val="0"/>
          <w:i w:val="0"/>
          <w:sz w:val="20"/>
        </w:rPr>
        <w:t>1) Prediction Performance: R² = 0.75-0.85 for PAC prediction 5 seconds ahead, R² = 0.60-0.75 for 10 seconds ahead, RMSE &lt; 0.08 (relative to baseline PAC ~0.15).</w:t>
      </w:r>
    </w:p>
    <w:p>
      <w:pPr>
        <w:spacing w:after="120"/>
        <w:ind w:firstLine="0"/>
        <w:jc w:val="both"/>
      </w:pPr>
      <w:r>
        <w:rPr>
          <w:rFonts w:ascii="Times New Roman" w:hAnsi="Times New Roman"/>
          <w:b w:val="0"/>
          <w:i w:val="0"/>
          <w:sz w:val="20"/>
        </w:rPr>
        <w:t>2) PAC Enhancement: Open-loop continuous achieves 25 ± 10% increase vs. baseline, reactive closed-loop achieves 35 ± 12% increase, predictive MPC achieves 50 ± 15% increase (p &lt; 0.01 vs. open-loop).</w:t>
      </w:r>
    </w:p>
    <w:p>
      <w:pPr>
        <w:spacing w:after="120"/>
        <w:ind w:firstLine="0"/>
        <w:jc w:val="both"/>
      </w:pPr>
      <w:r>
        <w:rPr>
          <w:rFonts w:ascii="Times New Roman" w:hAnsi="Times New Roman"/>
          <w:b w:val="0"/>
          <w:i w:val="0"/>
          <w:sz w:val="20"/>
        </w:rPr>
        <w:t>3) Energy Efficiency: Predictive MPC achieves equivalent PAC to continuous stimulation with 30-40% duty cycle, representing 60-70% reduction in total stimulation time with efficiency ratio 1.5-2.0× higher PAC per stimulation minute.</w:t>
      </w:r>
    </w:p>
    <w:p>
      <w:pPr>
        <w:spacing w:after="120"/>
        <w:ind w:firstLine="0"/>
        <w:jc w:val="both"/>
      </w:pPr>
      <w:r>
        <w:rPr>
          <w:rFonts w:ascii="Times New Roman" w:hAnsi="Times New Roman"/>
          <w:b w:val="0"/>
          <w:i w:val="0"/>
          <w:sz w:val="20"/>
        </w:rPr>
        <w:t>4) Temporal Dynamics: Faster PAC onset with predictive control (8±3 seconds vs. 15±5 seconds for open-loop), better maintenance of elevated PAC (75% time above target vs. 50% for baselines), and reduced PAC variance (σ² reduced by 30-40%).</w:t>
      </w:r>
    </w:p>
    <w:p>
      <w:pPr>
        <w:pStyle w:val="Heading2"/>
        <w:jc w:val="left"/>
      </w:pPr>
      <w:r>
        <w:rPr>
          <w:rFonts w:ascii="Times New Roman" w:hAnsi="Times New Roman"/>
          <w:b/>
          <w:color w:val="000000"/>
          <w:sz w:val="20"/>
        </w:rPr>
        <w:t>B. Scientific Significance</w:t>
      </w:r>
    </w:p>
    <w:p>
      <w:pPr>
        <w:spacing w:after="120"/>
        <w:ind w:firstLine="0"/>
        <w:jc w:val="both"/>
      </w:pPr>
      <w:r>
        <w:rPr>
          <w:rFonts w:ascii="Times New Roman" w:hAnsi="Times New Roman"/>
          <w:b w:val="0"/>
          <w:i w:val="0"/>
          <w:sz w:val="20"/>
        </w:rPr>
        <w:t>This research makes several important scientific contributions: (1) Methodological Innovation as the first application of MPC with deep learning predictions for EEG-based closed-loop control; (2) Mechanistic Understanding revealing predictive dynamics of theta-gamma PAC and how brain states evolve in response to stimulation; (3) Personalization Framework demonstrating subject-specific model adaptation for individualized neuromodulation; (4) Spatiotemporal Modeling validating GAT-Transformer architecture for capturing spatial-temporal brain dynamics; (5) Efficiency Gains showing potential for reduced stimulation burden while maintaining or improving efficacy.</w:t>
      </w:r>
    </w:p>
    <w:p>
      <w:pPr>
        <w:pStyle w:val="Heading2"/>
        <w:jc w:val="left"/>
      </w:pPr>
      <w:r>
        <w:rPr>
          <w:rFonts w:ascii="Times New Roman" w:hAnsi="Times New Roman"/>
          <w:b/>
          <w:color w:val="000000"/>
          <w:sz w:val="20"/>
        </w:rPr>
        <w:t>C. Clinical Translation Potential</w:t>
      </w:r>
    </w:p>
    <w:p>
      <w:pPr>
        <w:spacing w:after="120"/>
        <w:ind w:firstLine="0"/>
        <w:jc w:val="both"/>
      </w:pPr>
      <w:r>
        <w:rPr>
          <w:rFonts w:ascii="Times New Roman" w:hAnsi="Times New Roman"/>
          <w:b w:val="0"/>
          <w:i w:val="0"/>
          <w:sz w:val="20"/>
        </w:rPr>
        <w:t>The proposed framework has clear pathways to clinical application including Alzheimer's Disease (optimized gamma entrainment for cognitive enhancement), Depression/Anxiety (closed-loop modulation of prefrontal-limbic circuits), Epilepsy (predictive intervention before seizure onset), Attention Disorders (real-time optimization of attentional states), and Brain-Computer Interfaces (improved decoding through state prediction). The framework is modality-agnostic, applicable to auditory, visual, and transcranial electrical/magnetic stimulation.</w:t>
      </w:r>
    </w:p>
    <w:p>
      <w:pPr>
        <w:pStyle w:val="Heading1"/>
        <w:jc w:val="left"/>
      </w:pPr>
      <w:r>
        <w:rPr>
          <w:rFonts w:ascii="Times New Roman" w:hAnsi="Times New Roman"/>
          <w:b/>
          <w:color w:val="000000"/>
          <w:sz w:val="22"/>
        </w:rPr>
        <w:t>IX. LIMITATIONS AND FUTURE WORK</w:t>
      </w:r>
    </w:p>
    <w:p>
      <w:pPr>
        <w:pStyle w:val="Heading2"/>
        <w:jc w:val="left"/>
      </w:pPr>
      <w:r>
        <w:rPr>
          <w:rFonts w:ascii="Times New Roman" w:hAnsi="Times New Roman"/>
          <w:b/>
          <w:color w:val="000000"/>
          <w:sz w:val="20"/>
        </w:rPr>
        <w:t>A. Current Limitations</w:t>
      </w:r>
    </w:p>
    <w:p>
      <w:pPr>
        <w:spacing w:after="120"/>
        <w:ind w:firstLine="0"/>
        <w:jc w:val="both"/>
      </w:pPr>
      <w:r>
        <w:rPr>
          <w:rFonts w:ascii="Times New Roman" w:hAnsi="Times New Roman"/>
          <w:b w:val="0"/>
          <w:i w:val="0"/>
          <w:sz w:val="20"/>
        </w:rPr>
        <w:t>Several limitations should be acknowledged:</w:t>
      </w:r>
    </w:p>
    <w:p>
      <w:pPr>
        <w:spacing w:after="120"/>
        <w:ind w:left="360"/>
      </w:pPr>
      <w:r>
        <w:rPr>
          <w:rFonts w:ascii="Times New Roman" w:hAnsi="Times New Roman"/>
          <w:sz w:val="20"/>
        </w:rPr>
        <w:t>• In Silico Validation: Simulations use recorded data, not real-time closed-loop experiments. Actual brain responses may differ from predictions when control is applied prospectively</w:t>
        <w:br/>
      </w:r>
      <w:r>
        <w:rPr>
          <w:rFonts w:ascii="Times New Roman" w:hAnsi="Times New Roman"/>
          <w:sz w:val="20"/>
        </w:rPr>
        <w:t>• Healthy Subjects: Dataset contains only healthy adults. Clinical populations may exhibit different dynamics requiring model adaptation</w:t>
        <w:br/>
      </w:r>
      <w:r>
        <w:rPr>
          <w:rFonts w:ascii="Times New Roman" w:hAnsi="Times New Roman"/>
          <w:sz w:val="20"/>
        </w:rPr>
        <w:t>• Single Modality: Focus on auditory stimulation; generalization to other modalities requires validation</w:t>
        <w:br/>
      </w:r>
      <w:r>
        <w:rPr>
          <w:rFonts w:ascii="Times New Roman" w:hAnsi="Times New Roman"/>
          <w:sz w:val="20"/>
        </w:rPr>
        <w:t>• Computational Demands: Real-time implementation requires optimized inference (&lt;100 ms latency) which may necessitate model compression</w:t>
        <w:br/>
      </w:r>
      <w:r>
        <w:rPr>
          <w:rFonts w:ascii="Times New Roman" w:hAnsi="Times New Roman"/>
          <w:sz w:val="20"/>
        </w:rPr>
        <w:t>• Individual Variability: Even with fine-tuning, some subjects may be non-responders or exhibit unpredictable dynamics</w:t>
        <w:br/>
      </w:r>
      <w:r>
        <w:rPr>
          <w:rFonts w:ascii="Times New Roman" w:hAnsi="Times New Roman"/>
          <w:sz w:val="20"/>
        </w:rPr>
        <w:t>• Long-term Effects: Study focuses on acute within-session effects; longitudinal adaptation and plasticity not addressed</w:t>
        <w:br/>
      </w:r>
    </w:p>
    <w:p>
      <w:pPr>
        <w:pStyle w:val="Heading2"/>
        <w:jc w:val="left"/>
      </w:pPr>
      <w:r>
        <w:rPr>
          <w:rFonts w:ascii="Times New Roman" w:hAnsi="Times New Roman"/>
          <w:b/>
          <w:color w:val="000000"/>
          <w:sz w:val="20"/>
        </w:rPr>
        <w:t>B. Future Research Directions</w:t>
      </w:r>
    </w:p>
    <w:p>
      <w:pPr>
        <w:spacing w:after="120"/>
        <w:ind w:firstLine="0"/>
        <w:jc w:val="both"/>
      </w:pPr>
      <w:r>
        <w:rPr>
          <w:rFonts w:ascii="Times New Roman" w:hAnsi="Times New Roman"/>
          <w:b w:val="0"/>
          <w:i w:val="0"/>
          <w:sz w:val="20"/>
        </w:rPr>
        <w:t>This work opens numerous avenues for future investigation:</w:t>
      </w:r>
    </w:p>
    <w:p>
      <w:pPr>
        <w:spacing w:after="120"/>
        <w:ind w:firstLine="0"/>
        <w:jc w:val="both"/>
      </w:pPr>
      <w:r>
        <w:rPr>
          <w:rFonts w:ascii="Times New Roman" w:hAnsi="Times New Roman"/>
          <w:b w:val="0"/>
          <w:i w:val="0"/>
          <w:sz w:val="20"/>
        </w:rPr>
        <w:t>1) Online Prospective Validation: Implement real-time system with hardware interface, conduct human experiments with actual closed-loop control, and validate safety and efficacy prospectively.</w:t>
      </w:r>
    </w:p>
    <w:p>
      <w:pPr>
        <w:spacing w:after="120"/>
        <w:ind w:firstLine="0"/>
        <w:jc w:val="both"/>
      </w:pPr>
      <w:r>
        <w:rPr>
          <w:rFonts w:ascii="Times New Roman" w:hAnsi="Times New Roman"/>
          <w:b w:val="0"/>
          <w:i w:val="0"/>
          <w:sz w:val="20"/>
        </w:rPr>
        <w:t>2) Multi-modal Integration: Combine auditory, visual, and tactile stimulation, optimize multi-input control strategies, and investigate synergistic effects.</w:t>
      </w:r>
    </w:p>
    <w:p>
      <w:pPr>
        <w:spacing w:after="120"/>
        <w:ind w:firstLine="0"/>
        <w:jc w:val="both"/>
      </w:pPr>
      <w:r>
        <w:rPr>
          <w:rFonts w:ascii="Times New Roman" w:hAnsi="Times New Roman"/>
          <w:b w:val="0"/>
          <w:i w:val="0"/>
          <w:sz w:val="20"/>
        </w:rPr>
        <w:t>3) Clinical Populations: Test in Alzheimer's, MCI, schizophrenia cohorts, adapt models for pathological dynamics, and assess therapeutic outcomes.</w:t>
      </w:r>
    </w:p>
    <w:p>
      <w:pPr>
        <w:spacing w:after="120"/>
        <w:ind w:firstLine="0"/>
        <w:jc w:val="both"/>
      </w:pPr>
      <w:r>
        <w:rPr>
          <w:rFonts w:ascii="Times New Roman" w:hAnsi="Times New Roman"/>
          <w:b w:val="0"/>
          <w:i w:val="0"/>
          <w:sz w:val="20"/>
        </w:rPr>
        <w:t>4) Longitudinal Studies: Track model performance over weeks/months, investigate neuroplastic changes, and develop long-term adaptation strategies.</w:t>
      </w:r>
    </w:p>
    <w:p>
      <w:pPr>
        <w:spacing w:after="120"/>
        <w:ind w:firstLine="0"/>
        <w:jc w:val="both"/>
      </w:pPr>
      <w:r>
        <w:rPr>
          <w:rFonts w:ascii="Times New Roman" w:hAnsi="Times New Roman"/>
          <w:b w:val="0"/>
          <w:i w:val="0"/>
          <w:sz w:val="20"/>
        </w:rPr>
        <w:t>5) Interpretability: Apply attention visualization to understand learned patterns, relate graph features to neuroanatomy, and extract interpretable rules from black-box model.</w:t>
      </w:r>
    </w:p>
    <w:p>
      <w:pPr>
        <w:spacing w:after="120"/>
        <w:ind w:firstLine="0"/>
        <w:jc w:val="both"/>
      </w:pPr>
      <w:r>
        <w:rPr>
          <w:rFonts w:ascii="Times New Roman" w:hAnsi="Times New Roman"/>
          <w:b w:val="0"/>
          <w:i w:val="0"/>
          <w:sz w:val="20"/>
        </w:rPr>
        <w:t>6) Alternative Architectures: Test state-space models (Kalman filters, particle filters), explore hybrid physics-informed neural networks, and investigate uncertainty quantification via Bayesian deep learning.</w:t>
      </w:r>
    </w:p>
    <w:p>
      <w:pPr>
        <w:pStyle w:val="Heading2"/>
        <w:jc w:val="left"/>
      </w:pPr>
      <w:r>
        <w:rPr>
          <w:rFonts w:ascii="Times New Roman" w:hAnsi="Times New Roman"/>
          <w:b/>
          <w:color w:val="000000"/>
          <w:sz w:val="20"/>
        </w:rPr>
        <w:t>C. Broader Impact</w:t>
      </w:r>
    </w:p>
    <w:p>
      <w:pPr>
        <w:spacing w:after="120"/>
        <w:ind w:firstLine="0"/>
        <w:jc w:val="both"/>
      </w:pPr>
      <w:r>
        <w:rPr>
          <w:rFonts w:ascii="Times New Roman" w:hAnsi="Times New Roman"/>
          <w:b w:val="0"/>
          <w:i w:val="0"/>
          <w:sz w:val="20"/>
        </w:rPr>
        <w:t>Beyond immediate scientific contributions, this research has broader implications for Precision Medicine (enabling personalized brain stimulation tailored to individual neural dynamics), Ethical Considerations (reducing unnecessary stimulation exposure), Healthcare Economics (improved efficiency may reduce treatment costs), Neuroscience Tools (providing new capabilities for controlled manipulation of brain states), and AI in Medicine (demonstrating successful integration of deep learning prediction with control theory for medical applications).</w:t>
      </w:r>
    </w:p>
    <w:p>
      <w:pPr>
        <w:pStyle w:val="Heading1"/>
        <w:jc w:val="left"/>
      </w:pPr>
      <w:r>
        <w:rPr>
          <w:rFonts w:ascii="Times New Roman" w:hAnsi="Times New Roman"/>
          <w:b/>
          <w:color w:val="000000"/>
          <w:sz w:val="22"/>
        </w:rPr>
        <w:t>X. PROJECT TIMELINE AND MILESTONES</w:t>
      </w:r>
    </w:p>
    <w:p>
      <w:pPr>
        <w:pStyle w:val="Heading2"/>
        <w:jc w:val="left"/>
      </w:pPr>
      <w:r>
        <w:rPr>
          <w:rFonts w:ascii="Times New Roman" w:hAnsi="Times New Roman"/>
          <w:b/>
          <w:color w:val="000000"/>
          <w:sz w:val="20"/>
        </w:rPr>
        <w:t>A. Phase 1: Data Preparation and Baseline Analysis (Months 1-3)</w:t>
      </w:r>
    </w:p>
    <w:p>
      <w:pPr>
        <w:spacing w:after="120"/>
        <w:ind w:firstLine="0"/>
        <w:jc w:val="both"/>
      </w:pPr>
      <w:r>
        <w:rPr>
          <w:rFonts w:ascii="Times New Roman" w:hAnsi="Times New Roman"/>
          <w:b w:val="0"/>
          <w:i w:val="0"/>
          <w:sz w:val="20"/>
        </w:rPr>
        <w:t>Month 1: Download and organize OpenNeuro ds005048 dataset, implement preprocessing pipeline, perform quality control and data validation. Month 2: Compute baseline PAC, spectral features, connectivity measures, characterize stimulation responses across subjects, create train/validation/test splits. Month 3: Finalize feature extraction pipeline, build data loading infrastructure for model training, complete exploratory analysis. Deliverable: Preprocessed dataset and baseline characterization report.</w:t>
      </w:r>
    </w:p>
    <w:p>
      <w:pPr>
        <w:pStyle w:val="Heading2"/>
        <w:jc w:val="left"/>
      </w:pPr>
      <w:r>
        <w:rPr>
          <w:rFonts w:ascii="Times New Roman" w:hAnsi="Times New Roman"/>
          <w:b/>
          <w:color w:val="000000"/>
          <w:sz w:val="20"/>
        </w:rPr>
        <w:t>B. Phase 2: Model Development and Training (Months 4-8)</w:t>
      </w:r>
    </w:p>
    <w:p>
      <w:pPr>
        <w:spacing w:after="120"/>
        <w:ind w:firstLine="0"/>
        <w:jc w:val="both"/>
      </w:pPr>
      <w:r>
        <w:rPr>
          <w:rFonts w:ascii="Times New Roman" w:hAnsi="Times New Roman"/>
          <w:b w:val="0"/>
          <w:i w:val="0"/>
          <w:sz w:val="20"/>
        </w:rPr>
        <w:t>Month 4: Implement GAT-Transformer architecture, develop training loops and logging, initial proof-of-concept on single subject. Months 5-6: Hyperparameter optimization, multi-subject pre-training, baseline model comparison (GAT-LSTM, CNN-LSTM). Months 7-8: Subject-specific fine-tuning, LOSO cross-validation, prediction performance evaluation. Deliverable: Trained predictive models and performance benchmarking report.</w:t>
      </w:r>
    </w:p>
    <w:p>
      <w:pPr>
        <w:pStyle w:val="Heading2"/>
        <w:jc w:val="left"/>
      </w:pPr>
      <w:r>
        <w:rPr>
          <w:rFonts w:ascii="Times New Roman" w:hAnsi="Times New Roman"/>
          <w:b/>
          <w:color w:val="000000"/>
          <w:sz w:val="20"/>
        </w:rPr>
        <w:t>C. Phase 3: MPC Integration and Simulation (Months 9-12)</w:t>
      </w:r>
    </w:p>
    <w:p>
      <w:pPr>
        <w:spacing w:after="120"/>
        <w:ind w:firstLine="0"/>
        <w:jc w:val="both"/>
      </w:pPr>
      <w:r>
        <w:rPr>
          <w:rFonts w:ascii="Times New Roman" w:hAnsi="Times New Roman"/>
          <w:b w:val="0"/>
          <w:i w:val="0"/>
          <w:sz w:val="20"/>
        </w:rPr>
        <w:t>Month 9: Implement MPC optimization framework, integrate with predictive model, develop simulation environment. Month 10: Run in silico validation experiments, compare all baseline methods, perform sensitivity analysis. Month 11: Statistical analysis, performance optimization, result visualization. Month 12: Final validation and robustness testing, manuscript preparation, code and documentation finalization. Deliverable: Complete closed-loop system, validation results, research paper.</w:t>
      </w:r>
    </w:p>
    <w:p>
      <w:pPr>
        <w:pStyle w:val="Heading2"/>
        <w:jc w:val="left"/>
      </w:pPr>
      <w:r>
        <w:rPr>
          <w:rFonts w:ascii="Times New Roman" w:hAnsi="Times New Roman"/>
          <w:b/>
          <w:color w:val="000000"/>
          <w:sz w:val="20"/>
        </w:rPr>
        <w:t>D. Key Milestones</w:t>
      </w:r>
    </w:p>
    <w:p>
      <w:pPr>
        <w:spacing w:after="120"/>
        <w:ind w:left="360"/>
      </w:pPr>
      <w:r>
        <w:rPr>
          <w:rFonts w:ascii="Times New Roman" w:hAnsi="Times New Roman"/>
          <w:sz w:val="20"/>
        </w:rPr>
        <w:t>• Milestone 1 (Month 3): Preprocessed dataset ready for training</w:t>
        <w:br/>
      </w:r>
      <w:r>
        <w:rPr>
          <w:rFonts w:ascii="Times New Roman" w:hAnsi="Times New Roman"/>
          <w:sz w:val="20"/>
        </w:rPr>
        <w:t>• Milestone 2 (Month 6): Predictive model achieves R² &gt; 0.70 on validation set</w:t>
        <w:br/>
      </w:r>
      <w:r>
        <w:rPr>
          <w:rFonts w:ascii="Times New Roman" w:hAnsi="Times New Roman"/>
          <w:sz w:val="20"/>
        </w:rPr>
        <w:t>• Milestone 3 (Month 9): MPC framework integrated and functional</w:t>
        <w:br/>
      </w:r>
      <w:r>
        <w:rPr>
          <w:rFonts w:ascii="Times New Roman" w:hAnsi="Times New Roman"/>
          <w:sz w:val="20"/>
        </w:rPr>
        <w:t>• Milestone 4 (Month 11): In silico validation complete with positive results</w:t>
        <w:br/>
      </w:r>
      <w:r>
        <w:rPr>
          <w:rFonts w:ascii="Times New Roman" w:hAnsi="Times New Roman"/>
          <w:sz w:val="20"/>
        </w:rPr>
        <w:t>• Milestone 5 (Month 12): Manuscript submitted to IEEE journal</w:t>
        <w:br/>
      </w:r>
      <w:r>
        <w:rPr>
          <w:rFonts w:ascii="Times New Roman" w:hAnsi="Times New Roman"/>
          <w:sz w:val="20"/>
        </w:rPr>
        <w:t>• Milestone 6 (Month 12): Open-source code release on GitHub</w:t>
        <w:br/>
      </w:r>
    </w:p>
    <w:p>
      <w:pPr>
        <w:pStyle w:val="Heading1"/>
        <w:jc w:val="left"/>
      </w:pPr>
      <w:r>
        <w:rPr>
          <w:rFonts w:ascii="Times New Roman" w:hAnsi="Times New Roman"/>
          <w:b/>
          <w:color w:val="000000"/>
          <w:sz w:val="22"/>
        </w:rPr>
        <w:t>XI. CONCLUSION</w:t>
      </w:r>
    </w:p>
    <w:p>
      <w:pPr>
        <w:spacing w:after="120"/>
        <w:ind w:firstLine="0"/>
        <w:jc w:val="both"/>
      </w:pPr>
      <w:r>
        <w:rPr>
          <w:rFonts w:ascii="Times New Roman" w:hAnsi="Times New Roman"/>
          <w:b w:val="0"/>
          <w:i w:val="0"/>
          <w:sz w:val="20"/>
        </w:rPr>
        <w:t>This research methodology presents a comprehensive plan for developing and validating a predictive deep learning framework integrated with Model Predictive Control for optimizing theta-gamma phase-amplitude coupling through closed-loop neuromodulation. By combining Graph Attention Networks for spatial processing with Transformer architectures for temporal dynamics, we aim to achieve accurate multi-second ahead prediction of EEG states. Integration with MPC enables proactive, optimized control strategies that maximize therapeutic effects while minimizing stimulation exposure.</w:t>
      </w:r>
    </w:p>
    <w:p>
      <w:pPr>
        <w:spacing w:after="120"/>
        <w:ind w:firstLine="0"/>
        <w:jc w:val="both"/>
      </w:pPr>
      <w:r>
        <w:rPr>
          <w:rFonts w:ascii="Times New Roman" w:hAnsi="Times New Roman"/>
          <w:b w:val="0"/>
          <w:i w:val="0"/>
          <w:sz w:val="20"/>
        </w:rPr>
        <w:t>The proposed approach represents a paradigm shift from reactive to predictive closed-loop brain stimulation. Rather than responding to current brain states, the system anticipates future dynamics and preemptively adjusts interventions. This temporal foresight enables more efficient, personalized, and safe neuromodulation protocols.</w:t>
      </w:r>
    </w:p>
    <w:p>
      <w:pPr>
        <w:spacing w:after="120"/>
        <w:ind w:firstLine="0"/>
        <w:jc w:val="both"/>
      </w:pPr>
      <w:r>
        <w:rPr>
          <w:rFonts w:ascii="Times New Roman" w:hAnsi="Times New Roman"/>
          <w:b w:val="0"/>
          <w:i w:val="0"/>
          <w:sz w:val="20"/>
        </w:rPr>
        <w:t>Validation through in silico simulations using the OpenNeuro ds005048 dataset will establish proof-of-concept and provide quantitative performance benchmarks. Expected outcomes include superior PAC enhancement, 50-70% reduction in stimulation time, and demonstration of the critical role of prediction accuracy in closed-loop performance.</w:t>
      </w:r>
    </w:p>
    <w:p>
      <w:pPr>
        <w:spacing w:after="120"/>
        <w:ind w:firstLine="0"/>
        <w:jc w:val="both"/>
      </w:pPr>
      <w:r>
        <w:rPr>
          <w:rFonts w:ascii="Times New Roman" w:hAnsi="Times New Roman"/>
          <w:b w:val="0"/>
          <w:i w:val="0"/>
          <w:sz w:val="20"/>
        </w:rPr>
        <w:t>Beyond immediate scientific contributions, this work establishes a generalizable framework applicable to diverse brain stimulation modalities and clinical conditions. The integration of interpretable graph neural networks, attention mechanisms, and optimal control theory provides not only a powerful engineering solution but also insights into the spatiotemporal dynamics of neural oscillations and cross-frequency coupling.</w:t>
      </w:r>
    </w:p>
    <w:p>
      <w:pPr>
        <w:spacing w:after="120"/>
        <w:ind w:firstLine="0"/>
        <w:jc w:val="both"/>
      </w:pPr>
      <w:r>
        <w:rPr>
          <w:rFonts w:ascii="Times New Roman" w:hAnsi="Times New Roman"/>
          <w:b w:val="0"/>
          <w:i w:val="0"/>
          <w:sz w:val="20"/>
        </w:rPr>
        <w:t>Success in this research will pave the way for next-generation closed-loop neuromodulation systems, advancing precision medicine approaches for neurological and psychiatric disorders. The methodology, open-source implementations, and validated models will serve as foundational resources for the broader neuroscience and neuroengineering communities, accelerating translation of predictive control strategies into clinical practice.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