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spacing w:before="0" w:after="120" w:line="240" w:lineRule="auto"/>
        <w:jc w:val="center"/>
      </w:pPr>
      <w:r>
        <w:rPr>
          <w:rFonts w:ascii="Times New Roman" w:hAnsi="Times New Roman"/>
          <w:b w:val="0"/>
          <w:i w:val="0"/>
          <w:sz w:val="48"/>
        </w:rPr>
        <w:t>Auditing PAC Forecast Targets During 40 Hz Auditory Stimulation</w:t>
      </w:r>
    </w:p>
    <w:p>
      <w:pPr>
        <w:pStyle w:val="Author"/>
      </w:pPr>
      <w:r>
        <w:rPr>
          <w:rFonts w:ascii="Times New Roman" w:hAnsi="Times New Roman"/>
          <w:b w:val="0"/>
          <w:i w:val="0"/>
          <w:sz w:val="22"/>
        </w:rPr>
        <w:t>Amaar M. Chughtai</w:t>
      </w:r>
    </w:p>
    <w:p>
      <w:pPr>
        <w:pStyle w:val="Affiliation"/>
      </w:pPr>
      <w:r>
        <w:rPr>
          <w:rFonts w:ascii="Times New Roman" w:hAnsi="Times New Roman"/>
          <w:b w:val="0"/>
          <w:i w:val="0"/>
          <w:sz w:val="20"/>
        </w:rPr>
        <w:t>Valley Christian High School, San Jose, California, United States</w:t>
      </w:r>
    </w:p>
    <w:p>
      <w:pPr>
        <w:pStyle w:val="Affiliation"/>
      </w:pPr>
      <w:r>
        <w:rPr>
          <w:rFonts w:ascii="Times New Roman" w:hAnsi="Times New Roman"/>
          <w:b w:val="0"/>
          <w:i w:val="0"/>
          <w:sz w:val="20"/>
        </w:rPr>
        <w:t>amaardevx@gmail.com</w:t>
      </w:r>
    </w:p>
    <w:p>
      <w:pPr>
        <w:pStyle w:val="Abstract"/>
        <w:spacing w:before="0" w:after="80" w:line="240" w:lineRule="auto"/>
        <w:jc w:val="both"/>
      </w:pPr>
      <w:r>
        <w:rPr>
          <w:rFonts w:ascii="Times New Roman" w:hAnsi="Times New Roman"/>
          <w:b/>
          <w:i/>
          <w:sz w:val="20"/>
        </w:rPr>
        <w:t xml:space="preserve">Abstract: </w:t>
      </w:r>
      <w:r>
        <w:rPr>
          <w:rFonts w:ascii="Times New Roman" w:hAnsi="Times New Roman"/>
          <w:b w:val="0"/>
          <w:i w:val="0"/>
          <w:sz w:val="20"/>
        </w:rPr>
        <w:t xml:space="preserve">Fixed 40 Hz auditory stimulation protocols can be evaluated from the delivered sound schedule, but an adaptive protocol would need an EEG quantity that is available before each decision. This retrospective study tests whether frontal phase-amplitude coupling (PAC), the dependence of </w:t>
      </w:r>
      <w:r>
        <w:rPr>
          <w:rFonts w:ascii="Times New Roman" w:hAnsi="Times New Roman"/>
          <w:b w:val="0"/>
          <w:i w:val="0"/>
          <w:sz w:val="20"/>
        </w:rPr>
        <w:t>38-42 Hz</w:t>
      </w:r>
      <w:r>
        <w:rPr>
          <w:rFonts w:ascii="Times New Roman" w:hAnsi="Times New Roman"/>
          <w:b w:val="0"/>
          <w:i w:val="0"/>
          <w:sz w:val="20"/>
        </w:rPr>
        <w:t xml:space="preserve"> EEG amplitude on the phase of </w:t>
      </w:r>
      <w:r>
        <w:rPr>
          <w:rFonts w:ascii="Times New Roman" w:hAnsi="Times New Roman"/>
          <w:b w:val="0"/>
          <w:i w:val="0"/>
          <w:sz w:val="20"/>
        </w:rPr>
        <w:t>4-8 Hz</w:t>
      </w:r>
      <w:r>
        <w:rPr>
          <w:rFonts w:ascii="Times New Roman" w:hAnsi="Times New Roman"/>
          <w:b w:val="0"/>
          <w:i w:val="0"/>
          <w:sz w:val="20"/>
        </w:rPr>
        <w:t xml:space="preserve"> theta activity, can serve as a forecast target during 40 Hz auditory stimulation. Using 35 OpenNeuro </w:t>
      </w:r>
      <w:r>
        <w:rPr>
          <w:rFonts w:ascii="Times New Roman" w:hAnsi="Times New Roman"/>
          <w:b w:val="0"/>
          <w:i w:val="0"/>
          <w:sz w:val="20"/>
        </w:rPr>
        <w:t>ds005048</w:t>
      </w:r>
      <w:r>
        <w:rPr>
          <w:rFonts w:ascii="Times New Roman" w:hAnsi="Times New Roman"/>
          <w:b w:val="0"/>
          <w:i w:val="0"/>
          <w:sz w:val="20"/>
        </w:rPr>
        <w:t xml:space="preserve"> participants, seven frontal channels were split by participant into 24 training, 5 validation, and 6 held-out test participants. With PAC computed over complete stimulation/rest events and assigned to constituent two-second windows, a 12-feature temporal convolutional network (TCN) using PAC history and recorded stimulation timing reached held-out R-squared of 0.558, compared with -0.025 for a 73-feature candidate set and 0.606 mean R-squared across five seeds versus 0.104 for persistence. The central audit asked whether this result survived a target definition closer to online availability. Recomputing PAC from five-second backward-looking signal contexts increased unique held-out targets from 104 to 2,678, eliminated adjacent target repetition, and reduced TCN R-squared from 0.554 to 0.212, slightly below Ridge regression at 0.216. Offline replay then showed that forecast-driven decisions stimulated more below-median PAC periods but spared fewer above-median PAC periods than a reactive rule. These results make the next step specific: adaptive 40 Hz stimulation needs a streaming PAC estimator and controller calibration before any physiological or therapeutic claim is warranted.</w:t>
      </w:r>
    </w:p>
    <w:p>
      <w:pPr>
        <w:pStyle w:val="Keywords"/>
        <w:spacing w:before="0" w:after="80" w:line="240" w:lineRule="auto"/>
        <w:jc w:val="both"/>
      </w:pPr>
      <w:r>
        <w:rPr>
          <w:rFonts w:ascii="Times New Roman" w:hAnsi="Times New Roman"/>
          <w:b/>
          <w:i/>
          <w:sz w:val="20"/>
        </w:rPr>
        <w:t xml:space="preserve">Keywords: </w:t>
      </w:r>
      <w:r>
        <w:rPr>
          <w:rFonts w:ascii="Times New Roman" w:hAnsi="Times New Roman"/>
          <w:b w:val="0"/>
          <w:i w:val="0"/>
          <w:sz w:val="20"/>
        </w:rPr>
        <w:t>auditory stimulation, phase-amplitude coupling, EEG, temporal convolutional network, target-definition audit, retrospective replay</w:t>
      </w:r>
    </w:p>
    <w:p>
      <w:pPr>
        <w:sectPr>
          <w:type w:val="continuous"/>
          <w:pgSz w:w="12240" w:h="15840" w:code="1"/>
          <w:pgMar w:top="1080" w:right="907" w:bottom="1440" w:left="907" w:header="720" w:footer="720" w:gutter="0"/>
          <w:cols w:space="720" w:num="1"/>
          <w:docGrid w:linePitch="360"/>
        </w:sectPr>
      </w:pPr>
    </w:p>
    <w:p>
      <w:pPr>
        <w:pStyle w:val="Heading1"/>
        <w:spacing w:before="100" w:after="20" w:line="240" w:lineRule="auto"/>
        <w:jc w:val="center"/>
        <w:keepNext/>
      </w:pPr>
      <w:r>
        <w:rPr>
          <w:rFonts w:ascii="Times New Roman" w:hAnsi="Times New Roman"/>
          <w:b w:val="0"/>
          <w:i w:val="0"/>
          <w:sz w:val="20"/>
        </w:rPr>
        <w:t>Introduction</w:t>
      </w:r>
    </w:p>
    <w:p>
      <w:pPr>
        <w:pStyle w:val="BodyText"/>
        <w:spacing w:before="0" w:after="10" w:line="240" w:lineRule="auto"/>
        <w:ind w:firstLine="288"/>
        <w:jc w:val="both"/>
      </w:pPr>
      <w:r>
        <w:rPr>
          <w:rFonts w:ascii="Times New Roman" w:hAnsi="Times New Roman"/>
          <w:b w:val="0"/>
          <w:i w:val="0"/>
          <w:sz w:val="20"/>
        </w:rPr>
        <w:t>Forty-hertz auditory stimulation is being studied because gamma-band activity and network synchrony are altered in Alzheimer’s disease models and dementia cohorts. In 5XFAD mice, experimentally induced 40 Hz activity reduced amyloid burden and altered microglial response [1]. The human dataset used here comes from Lahijanian et al., who recorded EEG during alternating 40 Hz auditory stimulation and rest in memory-clinic participants. Their analysis measured power at the stimulation frequency and phase-locking-value connectivity across frontal and parietal sites; they reported a 40 Hz stimulus-period power peak and increased 40 Hz frontoparietal synchronization during stimulation [2]. That prior work makes the recordings useful for a narrower engineering question: can an EEG-derived state variable be estimated early enough to inform future stimulation timing? It does not show that changing stimulation timing would improve physiology or symptoms.</w:t>
      </w:r>
    </w:p>
    <w:p>
      <w:pPr>
        <w:pStyle w:val="BodyText"/>
        <w:spacing w:before="0" w:after="10" w:line="240" w:lineRule="auto"/>
        <w:ind w:firstLine="288"/>
        <w:jc w:val="both"/>
      </w:pPr>
      <w:r>
        <w:rPr>
          <w:rFonts w:ascii="Times New Roman" w:hAnsi="Times New Roman"/>
          <w:b w:val="0"/>
          <w:i w:val="0"/>
          <w:sz w:val="20"/>
        </w:rPr>
        <w:t>A fixed auditory protocol defines what sound is delivered, not whether the participant's measured EEG response is strengthening, fading, or being dominated by artifact. Fixed schedules are therefore reproducible but blind to within-session state. Closed-loop neuromodulation instead requires a decision variable computed from recent measurements, a rule for when to stimulate or rest, and evidence that the variable can be estimated or forecast before the next decision [4].</w:t>
      </w:r>
    </w:p>
    <w:p>
      <w:pPr>
        <w:pStyle w:val="BodyText"/>
        <w:spacing w:before="0" w:after="10" w:line="240" w:lineRule="auto"/>
        <w:ind w:firstLine="288"/>
        <w:jc w:val="both"/>
      </w:pPr>
      <w:r>
        <w:rPr>
          <w:rFonts w:ascii="Times New Roman" w:hAnsi="Times New Roman"/>
          <w:b w:val="0"/>
          <w:i w:val="0"/>
          <w:sz w:val="20"/>
        </w:rPr>
        <w:t xml:space="preserve">This study uses frontal phase-amplitude coupling as that decision variable. PAC measures whether the amplitude of a faster oscillatory component changes systematically with the phase of a slower component. Here, the slower component is </w:t>
      </w:r>
      <w:r>
        <w:rPr>
          <w:rFonts w:ascii="Times New Roman" w:hAnsi="Times New Roman"/>
          <w:b w:val="0"/>
          <w:i w:val="0"/>
          <w:sz w:val="20"/>
        </w:rPr>
        <w:t>4-8 Hz</w:t>
      </w:r>
      <w:r>
        <w:rPr>
          <w:rFonts w:ascii="Times New Roman" w:hAnsi="Times New Roman"/>
          <w:b w:val="0"/>
          <w:i w:val="0"/>
          <w:sz w:val="20"/>
        </w:rPr>
        <w:t xml:space="preserve"> theta phase and the faster component is the </w:t>
      </w:r>
      <w:r>
        <w:rPr>
          <w:rFonts w:ascii="Times New Roman" w:hAnsi="Times New Roman"/>
          <w:b w:val="0"/>
          <w:i w:val="0"/>
          <w:sz w:val="20"/>
        </w:rPr>
        <w:t>38-42 Hz</w:t>
      </w:r>
      <w:r>
        <w:rPr>
          <w:rFonts w:ascii="Times New Roman" w:hAnsi="Times New Roman"/>
          <w:b w:val="0"/>
          <w:i w:val="0"/>
          <w:sz w:val="20"/>
        </w:rPr>
        <w:t xml:space="preserve"> amplitude envelope surrounding the 40 Hz stimulation frequency. A higher modulation index means that 40 Hz-band amplitude is concentrated in particular theta-phase bins; a lower value means the amplitude is distributed more evenly across the theta cycle. This is not treated as proof of therapeutic engagement, source-level gamma entrainment, or disease state. It is a compact frontal EEG timing variable that can be tested as a target for future adaptive control.</w:t>
      </w:r>
    </w:p>
    <w:p>
      <w:pPr>
        <w:pStyle w:val="BodyText"/>
        <w:spacing w:before="0" w:after="10" w:line="240" w:lineRule="auto"/>
        <w:ind w:firstLine="288"/>
        <w:jc w:val="both"/>
      </w:pPr>
      <w:r>
        <w:rPr>
          <w:rFonts w:ascii="Times New Roman" w:hAnsi="Times New Roman"/>
          <w:b w:val="0"/>
          <w:i w:val="0"/>
          <w:sz w:val="20"/>
        </w:rPr>
        <w:t>The low-PAC replay target follows from the controller question rather than from a clinical claim. If a controller is designed to deliver stimulation when the chosen EEG feature is low relative to that participant's recent or full-session distribution, then below-median PAC gives a concrete, participant-normalized timing objective. The analysis therefore asks whether a model can identify and forecast low-coupling periods better than fixed or reactive rules. It does not assume that low PAC marks therapeutic need, and it does not test whether stimulation raises PAC.</w:t>
      </w:r>
    </w:p>
    <w:p>
      <w:pPr>
        <w:pStyle w:val="BodyText"/>
        <w:spacing w:before="0" w:after="10" w:line="240" w:lineRule="auto"/>
        <w:ind w:firstLine="288"/>
        <w:jc w:val="both"/>
      </w:pPr>
      <w:r>
        <w:rPr>
          <w:rFonts w:ascii="Times New Roman" w:hAnsi="Times New Roman"/>
          <w:b w:val="0"/>
          <w:i w:val="0"/>
          <w:sz w:val="20"/>
        </w:rPr>
        <w:t>Forecasting is useful only if it changes the decision before a reactive threshold would. A reactive rule waits until the measured feature has already crossed a threshold. A forecaster could, in principle, initiate or withhold stimulation before a future low-PAC state. That claim has three requirements: the input features must be available at decision time, performance must generalize to participants excluded from training, and the controller must not gain low-PAC coverage by simply stimulating almost all the time. Those requirements motivated the target-availability audit and the offline replay metrics used here.</w:t>
      </w:r>
    </w:p>
    <w:p>
      <w:pPr>
        <w:pStyle w:val="BodyText"/>
        <w:spacing w:before="0" w:after="10" w:line="240" w:lineRule="auto"/>
        <w:ind w:firstLine="288"/>
        <w:jc w:val="both"/>
      </w:pPr>
      <w:r>
        <w:rPr>
          <w:rFonts w:ascii="Times New Roman" w:hAnsi="Times New Roman"/>
          <w:b w:val="0"/>
          <w:i w:val="0"/>
          <w:sz w:val="20"/>
        </w:rPr>
        <w:t>This study therefore contributes three linked analyses. First, it builds a participant-disjoint temporal benchmark using seven frontal EEG channels from 35 participants and tests whether compact PAC-history plus recorded-stimulation features predict stored PAC values five seconds ahead. Second, it audits the target definition by recomputing PAC from five-second backward-looking signal contexts instead of complete stimulation/rest events. This matters because complete-event PAC is stable but assigns the same summary value to early windows before all contributing EEG samples have occurred. Third, it uses offline replay to test whether forecasts improve decision alignment relative to fixed and reactive rules. The resulting conclusion is intentionally bounded: compact temporal features predict stored event-summary PAC, but the nonlinear advantage weakens under a target definition closer to online availability, and replay exposes a low-PAC coverage versus high-PAC sparing tradeoff that must be calibrated before live testing.</w:t>
      </w:r>
    </w:p>
    <w:p>
      <w:pPr>
        <w:pStyle w:val="Heading1"/>
        <w:spacing w:before="100" w:after="20" w:line="240" w:lineRule="auto"/>
        <w:jc w:val="center"/>
        <w:keepNext/>
      </w:pPr>
      <w:r>
        <w:rPr>
          <w:rFonts w:ascii="Times New Roman" w:hAnsi="Times New Roman"/>
          <w:b w:val="0"/>
          <w:i w:val="0"/>
          <w:sz w:val="20"/>
        </w:rPr>
        <w:t>Data and Methods</w:t>
      </w:r>
    </w:p>
    <w:p>
      <w:pPr>
        <w:pStyle w:val="Heading2"/>
        <w:spacing w:before="60" w:after="0" w:line="240" w:lineRule="auto"/>
        <w:jc w:val="left"/>
        <w:keepNext/>
      </w:pPr>
      <w:r>
        <w:rPr>
          <w:rFonts w:ascii="Times New Roman" w:hAnsi="Times New Roman"/>
          <w:b w:val="0"/>
          <w:i/>
          <w:sz w:val="20"/>
        </w:rPr>
        <w:t>Source EEG Dataset and Signal Conditioning</w:t>
      </w:r>
    </w:p>
    <w:p>
      <w:pPr>
        <w:pStyle w:val="BodyText"/>
        <w:spacing w:before="0" w:after="10" w:line="240" w:lineRule="auto"/>
        <w:ind w:firstLine="288"/>
        <w:jc w:val="both"/>
      </w:pPr>
      <w:r>
        <w:rPr>
          <w:rFonts w:ascii="Times New Roman" w:hAnsi="Times New Roman"/>
          <w:b w:val="0"/>
          <w:i w:val="0"/>
          <w:sz w:val="20"/>
        </w:rPr>
        <w:t xml:space="preserve">OpenNeuro </w:t>
      </w:r>
      <w:r>
        <w:rPr>
          <w:rFonts w:ascii="Times New Roman" w:hAnsi="Times New Roman"/>
          <w:b w:val="0"/>
          <w:i w:val="0"/>
          <w:sz w:val="20"/>
        </w:rPr>
        <w:t>ds005048</w:t>
      </w:r>
      <w:r>
        <w:rPr>
          <w:rFonts w:ascii="Times New Roman" w:hAnsi="Times New Roman"/>
          <w:b w:val="0"/>
          <w:i w:val="0"/>
          <w:sz w:val="20"/>
        </w:rPr>
        <w:t xml:space="preserve"> version </w:t>
      </w:r>
      <w:r>
        <w:rPr>
          <w:rFonts w:ascii="Times New Roman" w:hAnsi="Times New Roman"/>
          <w:b w:val="0"/>
          <w:i w:val="0"/>
          <w:sz w:val="20"/>
        </w:rPr>
        <w:t>1.0.1</w:t>
      </w:r>
      <w:r>
        <w:rPr>
          <w:rFonts w:ascii="Times New Roman" w:hAnsi="Times New Roman"/>
          <w:b w:val="0"/>
          <w:i w:val="0"/>
          <w:sz w:val="20"/>
        </w:rPr>
        <w:t xml:space="preserve"> was selected because it contains the ingredients needed to ask a closed-loop timing question retrospectively: repeated 40 Hz auditory stimulation and rest blocks, event annotations, participant-level clinical labels, and continuous EEG from a memory-clinic cohort [3]. The dataset does not contain adaptive stimulation decisions, so every controller result below is a replay over recorded trajectories rather than evidence about counterfactual physiology.</w:t>
      </w:r>
    </w:p>
    <w:p>
      <w:pPr>
        <w:pStyle w:val="BodyText"/>
        <w:spacing w:before="0" w:after="10" w:line="240" w:lineRule="auto"/>
        <w:ind w:firstLine="288"/>
        <w:jc w:val="both"/>
      </w:pPr>
      <w:r>
        <w:rPr>
          <w:rFonts w:ascii="Times New Roman" w:hAnsi="Times New Roman"/>
          <w:b w:val="0"/>
          <w:i w:val="0"/>
          <w:sz w:val="20"/>
        </w:rPr>
        <w:t>The local BIDS release contains recordings from 35 participants. Participant labels include normal cognition, mild cognitive impairment, and Alzheimer's disease classifications; two participants have missing group labels. The source study recorded 19 monopolar EEG channels at 250 Hz during 40 Hz auditory stimulation trials interleaved with rest periods [2]. The source study's primary analysis focused on 40 Hz power, entrainment score, and phase-locking-value connectivity. This paper uses the same recordings for a different purpose: forecasting a scalar frontal PAC target from temporally ordered histories.</w:t>
      </w:r>
    </w:p>
    <w:p>
      <w:pPr>
        <w:pStyle w:val="BodyText"/>
        <w:spacing w:before="0" w:after="10" w:line="240" w:lineRule="auto"/>
        <w:ind w:firstLine="288"/>
        <w:jc w:val="both"/>
      </w:pPr>
      <w:r>
        <w:rPr>
          <w:rFonts w:ascii="Times New Roman" w:hAnsi="Times New Roman"/>
          <w:b w:val="0"/>
          <w:i w:val="0"/>
          <w:sz w:val="20"/>
        </w:rPr>
        <w:t xml:space="preserve">Seven frontal channels were selected: </w:t>
      </w:r>
      <w:r>
        <w:rPr>
          <w:rFonts w:ascii="Times New Roman" w:hAnsi="Times New Roman"/>
          <w:b w:val="0"/>
          <w:i w:val="0"/>
          <w:sz w:val="20"/>
        </w:rPr>
        <w:t>Fp1</w:t>
      </w:r>
      <w:r>
        <w:rPr>
          <w:rFonts w:ascii="Times New Roman" w:hAnsi="Times New Roman"/>
          <w:b w:val="0"/>
          <w:i w:val="0"/>
          <w:sz w:val="20"/>
        </w:rPr>
        <w:t xml:space="preserve">, </w:t>
      </w:r>
      <w:r>
        <w:rPr>
          <w:rFonts w:ascii="Times New Roman" w:hAnsi="Times New Roman"/>
          <w:b w:val="0"/>
          <w:i w:val="0"/>
          <w:sz w:val="20"/>
        </w:rPr>
        <w:t>Fp2</w:t>
      </w:r>
      <w:r>
        <w:rPr>
          <w:rFonts w:ascii="Times New Roman" w:hAnsi="Times New Roman"/>
          <w:b w:val="0"/>
          <w:i w:val="0"/>
          <w:sz w:val="20"/>
        </w:rPr>
        <w:t xml:space="preserve">, </w:t>
      </w:r>
      <w:r>
        <w:rPr>
          <w:rFonts w:ascii="Times New Roman" w:hAnsi="Times New Roman"/>
          <w:b w:val="0"/>
          <w:i w:val="0"/>
          <w:sz w:val="20"/>
        </w:rPr>
        <w:t>F7</w:t>
      </w:r>
      <w:r>
        <w:rPr>
          <w:rFonts w:ascii="Times New Roman" w:hAnsi="Times New Roman"/>
          <w:b w:val="0"/>
          <w:i w:val="0"/>
          <w:sz w:val="20"/>
        </w:rPr>
        <w:t xml:space="preserve">, </w:t>
      </w:r>
      <w:r>
        <w:rPr>
          <w:rFonts w:ascii="Times New Roman" w:hAnsi="Times New Roman"/>
          <w:b w:val="0"/>
          <w:i w:val="0"/>
          <w:sz w:val="20"/>
        </w:rPr>
        <w:t>F3</w:t>
      </w:r>
      <w:r>
        <w:rPr>
          <w:rFonts w:ascii="Times New Roman" w:hAnsi="Times New Roman"/>
          <w:b w:val="0"/>
          <w:i w:val="0"/>
          <w:sz w:val="20"/>
        </w:rPr>
        <w:t xml:space="preserve">, </w:t>
      </w:r>
      <w:r>
        <w:rPr>
          <w:rFonts w:ascii="Times New Roman" w:hAnsi="Times New Roman"/>
          <w:b w:val="0"/>
          <w:i w:val="0"/>
          <w:sz w:val="20"/>
        </w:rPr>
        <w:t>Fz</w:t>
      </w:r>
      <w:r>
        <w:rPr>
          <w:rFonts w:ascii="Times New Roman" w:hAnsi="Times New Roman"/>
          <w:b w:val="0"/>
          <w:i w:val="0"/>
          <w:sz w:val="20"/>
        </w:rPr>
        <w:t xml:space="preserve">, </w:t>
      </w:r>
      <w:r>
        <w:rPr>
          <w:rFonts w:ascii="Times New Roman" w:hAnsi="Times New Roman"/>
          <w:b w:val="0"/>
          <w:i w:val="0"/>
          <w:sz w:val="20"/>
        </w:rPr>
        <w:t>F4</w:t>
      </w:r>
      <w:r>
        <w:rPr>
          <w:rFonts w:ascii="Times New Roman" w:hAnsi="Times New Roman"/>
          <w:b w:val="0"/>
          <w:i w:val="0"/>
          <w:sz w:val="20"/>
        </w:rPr>
        <w:t xml:space="preserve">, and </w:t>
      </w:r>
      <w:r>
        <w:rPr>
          <w:rFonts w:ascii="Times New Roman" w:hAnsi="Times New Roman"/>
          <w:b w:val="0"/>
          <w:i w:val="0"/>
          <w:sz w:val="20"/>
        </w:rPr>
        <w:t>F8</w:t>
      </w:r>
      <w:r>
        <w:rPr>
          <w:rFonts w:ascii="Times New Roman" w:hAnsi="Times New Roman"/>
          <w:b w:val="0"/>
          <w:i w:val="0"/>
          <w:sz w:val="20"/>
        </w:rPr>
        <w:t xml:space="preserve">. The source study reports Makoto-pipeline preprocessing, including a </w:t>
      </w:r>
      <w:r>
        <w:rPr>
          <w:rFonts w:ascii="Times New Roman" w:hAnsi="Times New Roman"/>
          <w:b w:val="0"/>
          <w:i w:val="0"/>
          <w:sz w:val="20"/>
        </w:rPr>
        <w:t>1 Hz</w:t>
      </w:r>
      <w:r>
        <w:rPr>
          <w:rFonts w:ascii="Times New Roman" w:hAnsi="Times New Roman"/>
          <w:b w:val="0"/>
          <w:i w:val="0"/>
          <w:sz w:val="20"/>
        </w:rPr>
        <w:t xml:space="preserve"> high-pass filter, </w:t>
      </w:r>
      <w:r>
        <w:rPr>
          <w:rFonts w:ascii="Times New Roman" w:hAnsi="Times New Roman"/>
          <w:b w:val="0"/>
          <w:i w:val="0"/>
          <w:sz w:val="20"/>
        </w:rPr>
        <w:t>50 Hz</w:t>
      </w:r>
      <w:r>
        <w:rPr>
          <w:rFonts w:ascii="Times New Roman" w:hAnsi="Times New Roman"/>
          <w:b w:val="0"/>
          <w:i w:val="0"/>
          <w:sz w:val="20"/>
        </w:rPr>
        <w:t xml:space="preserve"> line-noise removal, artifact subspace reconstruction, average rereferencing, and ICA-based component rejection [2]. Released sidecar files independently report the </w:t>
      </w:r>
      <w:r>
        <w:rPr>
          <w:rFonts w:ascii="Times New Roman" w:hAnsi="Times New Roman"/>
          <w:b w:val="0"/>
          <w:i w:val="0"/>
          <w:sz w:val="20"/>
        </w:rPr>
        <w:t>1 Hz</w:t>
      </w:r>
      <w:r>
        <w:rPr>
          <w:rFonts w:ascii="Times New Roman" w:hAnsi="Times New Roman"/>
          <w:b w:val="0"/>
          <w:i w:val="0"/>
          <w:sz w:val="20"/>
        </w:rPr>
        <w:t xml:space="preserve"> high-pass filter, </w:t>
      </w:r>
      <w:r>
        <w:rPr>
          <w:rFonts w:ascii="Times New Roman" w:hAnsi="Times New Roman"/>
          <w:b w:val="0"/>
          <w:i w:val="0"/>
          <w:sz w:val="20"/>
        </w:rPr>
        <w:t>50 Hz</w:t>
      </w:r>
      <w:r>
        <w:rPr>
          <w:rFonts w:ascii="Times New Roman" w:hAnsi="Times New Roman"/>
          <w:b w:val="0"/>
          <w:i w:val="0"/>
          <w:sz w:val="20"/>
        </w:rPr>
        <w:t xml:space="preserve"> notch filter, and average reference. The local processing stage then applied an additional </w:t>
      </w:r>
      <w:r>
        <w:rPr>
          <w:rFonts w:ascii="Times New Roman" w:hAnsi="Times New Roman"/>
          <w:b w:val="0"/>
          <w:i w:val="0"/>
          <w:sz w:val="20"/>
        </w:rPr>
        <w:t>0.5-80 Hz</w:t>
      </w:r>
      <w:r>
        <w:rPr>
          <w:rFonts w:ascii="Times New Roman" w:hAnsi="Times New Roman"/>
          <w:b w:val="0"/>
          <w:i w:val="0"/>
          <w:sz w:val="20"/>
        </w:rPr>
        <w:t xml:space="preserve"> zero-phase band-pass filter, a </w:t>
      </w:r>
      <w:r>
        <w:rPr>
          <w:rFonts w:ascii="Times New Roman" w:hAnsi="Times New Roman"/>
          <w:b w:val="0"/>
          <w:i w:val="0"/>
          <w:sz w:val="20"/>
        </w:rPr>
        <w:t>50 Hz</w:t>
      </w:r>
      <w:r>
        <w:rPr>
          <w:rFonts w:ascii="Times New Roman" w:hAnsi="Times New Roman"/>
          <w:b w:val="0"/>
          <w:i w:val="0"/>
          <w:sz w:val="20"/>
        </w:rPr>
        <w:t xml:space="preserve"> zero-phase notch filter, absolute-amplitude masking above </w:t>
      </w:r>
      <w:r>
        <w:rPr>
          <w:rFonts w:ascii="Times New Roman" w:hAnsi="Times New Roman"/>
          <w:b w:val="0"/>
          <w:i w:val="0"/>
          <w:sz w:val="20"/>
        </w:rPr>
        <w:t>100 microvolts</w:t>
      </w:r>
      <w:r>
        <w:rPr>
          <w:rFonts w:ascii="Times New Roman" w:hAnsi="Times New Roman"/>
          <w:b w:val="0"/>
          <w:i w:val="0"/>
          <w:sz w:val="20"/>
        </w:rPr>
        <w:t>, and common-average rereferencing. Masked samples were set to zero before rereferencing. Because frontal/frontopolar gamma-band EEG is vulnerable to ocular and facial-muscle activity [6], this deterministic conditioning should not be read as a validated artifact-removal pipeline for physiological PAC. Each event period was segmented into two-second windows with a one-second hop.</w:t>
      </w:r>
    </w:p>
    <w:p>
      <w:pPr>
        <w:pStyle w:val="Heading2"/>
        <w:spacing w:before="60" w:after="0" w:line="240" w:lineRule="auto"/>
        <w:jc w:val="left"/>
        <w:keepNext/>
      </w:pPr>
      <w:r>
        <w:rPr>
          <w:rFonts w:ascii="Times New Roman" w:hAnsi="Times New Roman"/>
          <w:b w:val="0"/>
          <w:i/>
          <w:sz w:val="20"/>
        </w:rPr>
        <w:t>PAC Label Construction</w:t>
      </w:r>
    </w:p>
    <w:p>
      <w:pPr>
        <w:pStyle w:val="BodyText"/>
        <w:spacing w:before="0" w:after="10" w:line="240" w:lineRule="auto"/>
        <w:ind w:firstLine="288"/>
        <w:jc w:val="both"/>
      </w:pPr>
      <w:r>
        <w:rPr>
          <w:rFonts w:ascii="Times New Roman" w:hAnsi="Times New Roman"/>
          <w:b w:val="0"/>
          <w:i w:val="0"/>
          <w:sz w:val="20"/>
        </w:rPr>
        <w:t xml:space="preserve">Theta-gamma PAC was measured using the modulation index introduced by Tort et al. [5]. For each channel, theta phase was extracted from </w:t>
      </w:r>
      <w:r>
        <w:rPr>
          <w:rFonts w:ascii="Times New Roman" w:hAnsi="Times New Roman"/>
          <w:b w:val="0"/>
          <w:i w:val="0"/>
          <w:sz w:val="20"/>
        </w:rPr>
        <w:t>4-8 Hz</w:t>
      </w:r>
      <w:r>
        <w:rPr>
          <w:rFonts w:ascii="Times New Roman" w:hAnsi="Times New Roman"/>
          <w:b w:val="0"/>
          <w:i w:val="0"/>
          <w:sz w:val="20"/>
        </w:rPr>
        <w:t xml:space="preserve">, gamma amplitude from </w:t>
      </w:r>
      <w:r>
        <w:rPr>
          <w:rFonts w:ascii="Times New Roman" w:hAnsi="Times New Roman"/>
          <w:b w:val="0"/>
          <w:i w:val="0"/>
          <w:sz w:val="20"/>
        </w:rPr>
        <w:t>38-42 Hz</w:t>
      </w:r>
      <w:r>
        <w:rPr>
          <w:rFonts w:ascii="Times New Roman" w:hAnsi="Times New Roman"/>
          <w:b w:val="0"/>
          <w:i w:val="0"/>
          <w:sz w:val="20"/>
        </w:rPr>
        <w:t>, and the gamma amplitude distribution was summarized over 18 theta-phase bins. The normalized divergence from a uniform distribution produced a dimensionless modulation-index value. Values were averaged across the seven selected channels to create one scalar frontal timing target, not a spatial connectivity analysis.</w:t>
      </w:r>
    </w:p>
    <w:p>
      <w:pPr>
        <w:pStyle w:val="BodyText"/>
        <w:spacing w:before="0" w:after="10" w:line="240" w:lineRule="auto"/>
        <w:ind w:firstLine="288"/>
        <w:jc w:val="both"/>
      </w:pPr>
      <w:r>
        <w:rPr>
          <w:rFonts w:ascii="Times New Roman" w:hAnsi="Times New Roman"/>
          <w:b w:val="0"/>
          <w:i w:val="0"/>
          <w:sz w:val="20"/>
        </w:rPr>
        <w:t>These modulation-index values are used as retrospective EEG-derived targets. No surrogate correction or phase-clustering debiasing was applied, so the values should not be read as definitive evidence of physiological theta-gamma coupling, endogenous gamma activity, source-level entrainment, or therapeutic response [7].</w:t>
      </w:r>
    </w:p>
    <w:p>
      <w:pPr>
        <w:pStyle w:val="BodyText"/>
        <w:spacing w:before="0" w:after="10" w:line="240" w:lineRule="auto"/>
        <w:ind w:firstLine="288"/>
        <w:jc w:val="both"/>
      </w:pPr>
      <w:r>
        <w:rPr>
          <w:rFonts w:ascii="Times New Roman" w:hAnsi="Times New Roman"/>
          <w:b w:val="0"/>
          <w:i w:val="0"/>
          <w:sz w:val="20"/>
        </w:rPr>
        <w:t>PAC was computed over complete event periods rather than individual two-second windows because short windows provide too few theta cycles for stable phase binning. Most event periods lasted 20 or 40 seconds, with brief final rest periods also present. Each two-second window inherited the PAC value of its containing period. This stabilizes the label but has three consequences: labels repeat within periods, adjacent samples are not independent, and a PAC value assigned to an early window summarizes signal samples acquired later in that period. The present analysis is therefore retrospective; an online estimator must be evaluated before live use.</w:t>
      </w:r>
    </w:p>
    <w:p>
      <w:pPr>
        <w:pStyle w:val="Heading2"/>
        <w:spacing w:before="60" w:after="0" w:line="240" w:lineRule="auto"/>
        <w:jc w:val="left"/>
        <w:keepNext/>
      </w:pPr>
      <w:r>
        <w:rPr>
          <w:rFonts w:ascii="Times New Roman" w:hAnsi="Times New Roman"/>
          <w:b w:val="0"/>
          <w:i/>
          <w:sz w:val="20"/>
        </w:rPr>
        <w:t>Temporally Ordered Forecasting Dataset</w:t>
      </w:r>
    </w:p>
    <w:p>
      <w:pPr>
        <w:pStyle w:val="BodyText"/>
        <w:spacing w:before="0" w:after="10" w:line="240" w:lineRule="auto"/>
        <w:ind w:firstLine="288"/>
        <w:jc w:val="both"/>
      </w:pPr>
      <w:r>
        <w:rPr>
          <w:rFonts w:ascii="Times New Roman" w:hAnsi="Times New Roman"/>
          <w:b w:val="0"/>
          <w:i w:val="0"/>
          <w:sz w:val="20"/>
        </w:rPr>
        <w:t>Each temporal sample used a 20-step lookback and a target five steps into the future. With a one-second hop, this corresponds to 20 stored-series seconds of history and a target five seconds after the sequence endpoint. Sequences were constructed separately within each participant so that no sequence crossed a participant boundary. Target indexing uses no later PAC-series entry as an input, but it does not resolve the online-availability limitation of the event-period PAC summaries.</w:t>
      </w:r>
    </w:p>
    <w:p>
      <w:pPr>
        <w:pStyle w:val="BodyText"/>
        <w:spacing w:before="0" w:after="10" w:line="240" w:lineRule="auto"/>
        <w:ind w:firstLine="288"/>
        <w:jc w:val="both"/>
      </w:pPr>
      <w:r>
        <w:rPr>
          <w:rFonts w:ascii="Times New Roman" w:hAnsi="Times New Roman"/>
          <w:b w:val="0"/>
          <w:i w:val="0"/>
          <w:sz w:val="20"/>
        </w:rPr>
        <w:t>The initial representation contained 73 candidate features per time step:</w:t>
      </w:r>
    </w:p>
    <w:p>
      <w:pPr>
        <w:pStyle w:val="BodyText"/>
        <w:spacing w:before="0" w:after="0" w:line="240" w:lineRule="auto"/>
        <w:ind w:left="259" w:hanging="259"/>
        <w:jc w:val="both"/>
        <w:keepNext/>
      </w:pPr>
      <w:r>
        <w:rPr>
          <w:rFonts w:ascii="Times New Roman" w:hAnsi="Times New Roman"/>
          <w:b w:val="0"/>
          <w:i w:val="0"/>
          <w:sz w:val="20"/>
        </w:rPr>
        <w:t xml:space="preserve">- </w:t>
      </w:r>
      <w:r>
        <w:rPr>
          <w:rFonts w:ascii="Times New Roman" w:hAnsi="Times New Roman"/>
          <w:b w:val="0"/>
          <w:i w:val="0"/>
          <w:sz w:val="20"/>
        </w:rPr>
        <w:t>61 spectral features</w:t>
      </w:r>
    </w:p>
    <w:p>
      <w:pPr>
        <w:pStyle w:val="BodyText"/>
        <w:spacing w:before="0" w:after="0" w:line="240" w:lineRule="auto"/>
        <w:ind w:left="259" w:hanging="259"/>
        <w:jc w:val="both"/>
        <w:keepNext/>
      </w:pPr>
      <w:r>
        <w:rPr>
          <w:rFonts w:ascii="Times New Roman" w:hAnsi="Times New Roman"/>
          <w:b w:val="0"/>
          <w:i w:val="0"/>
          <w:sz w:val="20"/>
        </w:rPr>
        <w:t xml:space="preserve">- </w:t>
      </w:r>
      <w:r>
        <w:rPr>
          <w:rFonts w:ascii="Times New Roman" w:hAnsi="Times New Roman"/>
          <w:b w:val="0"/>
          <w:i w:val="0"/>
          <w:sz w:val="20"/>
        </w:rPr>
        <w:t>7 PAC-history features: current PAC, trailing means over 2, 4, 8, and 16 steps, and differences over 1 and 4 steps</w:t>
      </w:r>
    </w:p>
    <w:p>
      <w:pPr>
        <w:pStyle w:val="BodyText"/>
        <w:spacing w:before="0" w:after="0" w:line="240" w:lineRule="auto"/>
        <w:ind w:left="259" w:hanging="259"/>
        <w:jc w:val="both"/>
      </w:pPr>
      <w:r>
        <w:rPr>
          <w:rFonts w:ascii="Times New Roman" w:hAnsi="Times New Roman"/>
          <w:b w:val="0"/>
          <w:i w:val="0"/>
          <w:sz w:val="20"/>
        </w:rPr>
        <w:t xml:space="preserve">- </w:t>
      </w:r>
      <w:r>
        <w:rPr>
          <w:rFonts w:ascii="Times New Roman" w:hAnsi="Times New Roman"/>
          <w:b w:val="0"/>
          <w:i w:val="0"/>
          <w:sz w:val="20"/>
        </w:rPr>
        <w:t>5 stimulation-context features: stimulation state, normalized time since switch, recent stimulation fraction, and sine/cosine protocol-phase terms.</w:t>
      </w:r>
    </w:p>
    <w:p>
      <w:pPr>
        <w:pStyle w:val="BodyText"/>
        <w:spacing w:before="0" w:after="10" w:line="240" w:lineRule="auto"/>
        <w:ind w:firstLine="288"/>
        <w:jc w:val="both"/>
      </w:pPr>
      <w:r>
        <w:rPr>
          <w:rFonts w:ascii="Times New Roman" w:hAnsi="Times New Roman"/>
          <w:b w:val="0"/>
          <w:i w:val="0"/>
          <w:sz w:val="20"/>
        </w:rPr>
        <w:t>An exploratory ablation identified the 12 PAC-history and stimulation-context features as the best-performing held-out test representation in this fixed split. Because representation choice was informed by this benchmark, the result should be treated as exploratory until repeated participant-level splits or nested model selection are run. The data were divided by participant into 24 training, 5 validation, and 6 test participants. The resulting temporal dataset contained 11,160 training, 2,605 validation, and 2,678 test sequences. Normalization statistics were fit on the training split only and then applied to all splits.</w:t>
      </w:r>
    </w:p>
    <w:p>
      <w:pPr>
        <w:pStyle w:val="Heading2"/>
        <w:spacing w:before="60" w:after="0" w:line="240" w:lineRule="auto"/>
        <w:jc w:val="left"/>
        <w:keepNext/>
      </w:pPr>
      <w:r>
        <w:rPr>
          <w:rFonts w:ascii="Times New Roman" w:hAnsi="Times New Roman"/>
          <w:b w:val="0"/>
          <w:i/>
          <w:sz w:val="20"/>
        </w:rPr>
        <w:t>Backward-Looking PAC Stress Test</w:t>
      </w:r>
    </w:p>
    <w:p>
      <w:pPr>
        <w:pStyle w:val="BodyText"/>
        <w:spacing w:before="0" w:after="10" w:line="240" w:lineRule="auto"/>
        <w:ind w:firstLine="288"/>
        <w:jc w:val="both"/>
      </w:pPr>
      <w:r>
        <w:rPr>
          <w:rFonts w:ascii="Times New Roman" w:hAnsi="Times New Roman"/>
          <w:b w:val="0"/>
          <w:i w:val="0"/>
          <w:sz w:val="20"/>
        </w:rPr>
        <w:t>To test how strongly the event-summary target definition influenced the result, an additional benchmark reconstructed contiguous event segments from the overlapping windows and recomputed PAC at each timestamp from a five-second backward-looking context ending at that timestamp. The benchmark used the same 20-step lookback, five-step horizon, 12 features, participant splits, and train-only normalization. For contexts shorter than three seconds at segment boundaries, the PAC computation used 9 rather than 18 phase bins.</w:t>
      </w:r>
    </w:p>
    <w:p>
      <w:pPr>
        <w:pStyle w:val="BodyText"/>
        <w:spacing w:before="0" w:after="10" w:line="240" w:lineRule="auto"/>
        <w:ind w:firstLine="288"/>
        <w:jc w:val="both"/>
      </w:pPr>
      <w:r>
        <w:rPr>
          <w:rFonts w:ascii="Times New Roman" w:hAnsi="Times New Roman"/>
          <w:b w:val="0"/>
          <w:i w:val="0"/>
          <w:sz w:val="20"/>
        </w:rPr>
        <w:t>In this stress test, each input PAC value was computed without EEG samples after its own timestamp. However, the benchmark still used zero-phase filtering within each bounded context, and five-second PAC contexts provide limited theta-cycle support. It is therefore an information-boundary stress test that is closer to online availability than complete-event back-assignment, but it is not a validated streaming estimator.</w:t>
      </w:r>
    </w:p>
    <w:p>
      <w:pPr>
        <w:pStyle w:val="Heading2"/>
        <w:spacing w:before="60" w:after="0" w:line="240" w:lineRule="auto"/>
        <w:jc w:val="left"/>
        <w:keepNext/>
      </w:pPr>
      <w:r>
        <w:rPr>
          <w:rFonts w:ascii="Times New Roman" w:hAnsi="Times New Roman"/>
          <w:b w:val="0"/>
          <w:i/>
          <w:sz w:val="20"/>
        </w:rPr>
        <w:t>Temporal Model</w:t>
      </w:r>
    </w:p>
    <w:p>
      <w:pPr>
        <w:pStyle w:val="BodyText"/>
        <w:spacing w:before="0" w:after="10" w:line="240" w:lineRule="auto"/>
        <w:ind w:firstLine="288"/>
        <w:jc w:val="both"/>
      </w:pPr>
      <w:r>
        <w:rPr>
          <w:rFonts w:ascii="Times New Roman" w:hAnsi="Times New Roman"/>
          <w:b w:val="0"/>
          <w:i w:val="0"/>
          <w:sz w:val="20"/>
        </w:rPr>
        <w:t xml:space="preserve">The selected forecaster is a lightweight temporal convolutional network (TCN), which applies temporal convolutions to ordered samples [8]. An input projection is followed by four residual depthwise-separable temporal blocks with kernel size 3 and dilations </w:t>
      </w:r>
      <w:r>
        <w:rPr>
          <w:rFonts w:ascii="Times New Roman" w:hAnsi="Times New Roman"/>
          <w:b w:val="0"/>
          <w:i w:val="0"/>
          <w:sz w:val="20"/>
        </w:rPr>
        <w:t>[1, 2, 4, 8]</w:t>
      </w:r>
      <w:r>
        <w:rPr>
          <w:rFonts w:ascii="Times New Roman" w:hAnsi="Times New Roman"/>
          <w:b w:val="0"/>
          <w:i w:val="0"/>
          <w:sz w:val="20"/>
        </w:rPr>
        <w:t>. Within the stored input sequence, left-only padding prevents later entries from entering an earlier temporal representation. Attention pooling summarizes the 20-step sequence before regression heads estimate future PAC and PAC change.</w:t>
      </w:r>
    </w:p>
    <w:p>
      <w:pPr>
        <w:pStyle w:val="BodyText"/>
        <w:spacing w:before="0" w:after="10" w:line="240" w:lineRule="auto"/>
        <w:ind w:firstLine="288"/>
        <w:jc w:val="both"/>
      </w:pPr>
      <w:r>
        <w:rPr>
          <w:rFonts w:ascii="Times New Roman" w:hAnsi="Times New Roman"/>
          <w:b w:val="0"/>
          <w:i w:val="0"/>
          <w:sz w:val="20"/>
        </w:rPr>
        <w:t>The primary forecasting study evaluated the selected 12-feature representation across five random seeds. For controller integration, a dual-head 12-feature checkpoint was trained separately with the same hidden-64 architecture. That architecture contains 27,139 trainable parameters. Forecasting-study, stress-test, and controller-replay results are reported separately because they come from distinct retraining or replay runs.</w:t>
      </w:r>
    </w:p>
    <w:p>
      <w:pPr>
        <w:pStyle w:val="Heading2"/>
        <w:spacing w:before="60" w:after="0" w:line="240" w:lineRule="auto"/>
        <w:jc w:val="left"/>
        <w:keepNext/>
      </w:pPr>
      <w:r>
        <w:rPr>
          <w:rFonts w:ascii="Times New Roman" w:hAnsi="Times New Roman"/>
          <w:b w:val="0"/>
          <w:i/>
          <w:sz w:val="20"/>
        </w:rPr>
        <w:t>Retrospective Controller Replay</w:t>
      </w:r>
    </w:p>
    <w:p>
      <w:pPr>
        <w:pStyle w:val="BodyText"/>
        <w:spacing w:before="0" w:after="10" w:line="240" w:lineRule="auto"/>
        <w:ind w:firstLine="288"/>
        <w:jc w:val="both"/>
      </w:pPr>
      <w:r>
        <w:rPr>
          <w:rFonts w:ascii="Times New Roman" w:hAnsi="Times New Roman"/>
          <w:b w:val="0"/>
          <w:i w:val="0"/>
          <w:sz w:val="20"/>
        </w:rPr>
        <w:t>The integrated checkpoint was evaluated in offline replay on all 35 recorded PAC trajectories, including the training, validation, and test splits. This replay probes controller behavior; it is not an additional held-out forecasting test. The replay compared four strategies:</w:t>
      </w:r>
    </w:p>
    <w:p>
      <w:pPr>
        <w:pStyle w:val="BodyText"/>
        <w:spacing w:before="0" w:after="0" w:line="240" w:lineRule="auto"/>
        <w:ind w:left="259" w:hanging="259"/>
        <w:jc w:val="both"/>
        <w:keepNext/>
      </w:pPr>
      <w:r>
        <w:rPr>
          <w:rFonts w:ascii="Times New Roman" w:hAnsi="Times New Roman"/>
          <w:b w:val="0"/>
          <w:i w:val="0"/>
          <w:sz w:val="20"/>
        </w:rPr>
        <w:t xml:space="preserve">1. </w:t>
      </w:r>
      <w:r>
        <w:rPr>
          <w:rFonts w:ascii="Times New Roman" w:hAnsi="Times New Roman"/>
          <w:b/>
          <w:i w:val="0"/>
          <w:sz w:val="20"/>
        </w:rPr>
        <w:t>Fixed schedule:</w:t>
      </w:r>
      <w:r>
        <w:rPr>
          <w:rFonts w:ascii="Times New Roman" w:hAnsi="Times New Roman"/>
          <w:b w:val="0"/>
          <w:i w:val="0"/>
          <w:sz w:val="20"/>
        </w:rPr>
        <w:t xml:space="preserve"> replay the nominal recorded stimulation schedule.</w:t>
      </w:r>
    </w:p>
    <w:p>
      <w:pPr>
        <w:pStyle w:val="BodyText"/>
        <w:spacing w:before="0" w:after="0" w:line="240" w:lineRule="auto"/>
        <w:ind w:left="259" w:hanging="259"/>
        <w:jc w:val="both"/>
        <w:keepNext/>
      </w:pPr>
      <w:r>
        <w:rPr>
          <w:rFonts w:ascii="Times New Roman" w:hAnsi="Times New Roman"/>
          <w:b w:val="0"/>
          <w:i w:val="0"/>
          <w:sz w:val="20"/>
        </w:rPr>
        <w:t xml:space="preserve">2. </w:t>
      </w:r>
      <w:r>
        <w:rPr>
          <w:rFonts w:ascii="Times New Roman" w:hAnsi="Times New Roman"/>
          <w:b/>
          <w:i w:val="0"/>
          <w:sz w:val="20"/>
        </w:rPr>
        <w:t>Reactive threshold:</w:t>
      </w:r>
      <w:r>
        <w:rPr>
          <w:rFonts w:ascii="Times New Roman" w:hAnsi="Times New Roman"/>
          <w:b w:val="0"/>
          <w:i w:val="0"/>
          <w:sz w:val="20"/>
        </w:rPr>
        <w:t xml:space="preserve"> after a 10-sample warm-up, stimulate when current PAC is more than </w:t>
      </w:r>
      <w:r>
        <w:rPr>
          <w:rFonts w:ascii="Times New Roman" w:hAnsi="Times New Roman"/>
          <w:b w:val="0"/>
          <w:i w:val="0"/>
          <w:sz w:val="20"/>
        </w:rPr>
        <w:t>0.5</w:t>
      </w:r>
      <w:r>
        <w:rPr>
          <w:rFonts w:ascii="Times New Roman" w:hAnsi="Times New Roman"/>
          <w:b w:val="0"/>
          <w:i w:val="0"/>
          <w:sz w:val="20"/>
        </w:rPr>
        <w:t xml:space="preserve"> standard deviations below its 30-sample rolling baseline; otherwise rest.</w:t>
      </w:r>
    </w:p>
    <w:p>
      <w:pPr>
        <w:pStyle w:val="BodyText"/>
        <w:spacing w:before="0" w:after="0" w:line="240" w:lineRule="auto"/>
        <w:ind w:left="259" w:hanging="259"/>
        <w:jc w:val="both"/>
        <w:keepNext/>
      </w:pPr>
      <w:r>
        <w:rPr>
          <w:rFonts w:ascii="Times New Roman" w:hAnsi="Times New Roman"/>
          <w:b w:val="0"/>
          <w:i w:val="0"/>
          <w:sz w:val="20"/>
        </w:rPr>
        <w:t xml:space="preserve">3. </w:t>
      </w:r>
      <w:r>
        <w:rPr>
          <w:rFonts w:ascii="Times New Roman" w:hAnsi="Times New Roman"/>
          <w:b/>
          <w:i w:val="0"/>
          <w:sz w:val="20"/>
        </w:rPr>
        <w:t>TCN predictive:</w:t>
      </w:r>
      <w:r>
        <w:rPr>
          <w:rFonts w:ascii="Times New Roman" w:hAnsi="Times New Roman"/>
          <w:b w:val="0"/>
          <w:i w:val="0"/>
          <w:sz w:val="20"/>
        </w:rPr>
        <w:t xml:space="preserve"> stimulate or rest when normalized forecast PAC change crosses </w:t>
      </w:r>
      <w:r>
        <w:rPr>
          <w:rFonts w:ascii="Times New Roman" w:hAnsi="Times New Roman"/>
          <w:b w:val="0"/>
          <w:i w:val="0"/>
          <w:sz w:val="20"/>
        </w:rPr>
        <w:t>-0.3</w:t>
      </w:r>
      <w:r>
        <w:rPr>
          <w:rFonts w:ascii="Times New Roman" w:hAnsi="Times New Roman"/>
          <w:b w:val="0"/>
          <w:i w:val="0"/>
          <w:sz w:val="20"/>
        </w:rPr>
        <w:t xml:space="preserve"> or </w:t>
      </w:r>
      <w:r>
        <w:rPr>
          <w:rFonts w:ascii="Times New Roman" w:hAnsi="Times New Roman"/>
          <w:b w:val="0"/>
          <w:i w:val="0"/>
          <w:sz w:val="20"/>
        </w:rPr>
        <w:t>+0.3</w:t>
      </w:r>
      <w:r>
        <w:rPr>
          <w:rFonts w:ascii="Times New Roman" w:hAnsi="Times New Roman"/>
          <w:b w:val="0"/>
          <w:i w:val="0"/>
          <w:sz w:val="20"/>
        </w:rPr>
        <w:t>; otherwise use a current-PAC threshold fallback with a three-step minimum hold before switching state.</w:t>
      </w:r>
    </w:p>
    <w:p>
      <w:pPr>
        <w:pStyle w:val="BodyText"/>
        <w:spacing w:before="0" w:after="0" w:line="240" w:lineRule="auto"/>
        <w:ind w:left="259" w:hanging="259"/>
        <w:jc w:val="both"/>
      </w:pPr>
      <w:r>
        <w:rPr>
          <w:rFonts w:ascii="Times New Roman" w:hAnsi="Times New Roman"/>
          <w:b w:val="0"/>
          <w:i w:val="0"/>
          <w:sz w:val="20"/>
        </w:rPr>
        <w:t xml:space="preserve">4. </w:t>
      </w:r>
      <w:r>
        <w:rPr>
          <w:rFonts w:ascii="Times New Roman" w:hAnsi="Times New Roman"/>
          <w:b/>
          <w:i w:val="0"/>
          <w:sz w:val="20"/>
        </w:rPr>
        <w:t>Alignment oracle:</w:t>
      </w:r>
      <w:r>
        <w:rPr>
          <w:rFonts w:ascii="Times New Roman" w:hAnsi="Times New Roman"/>
          <w:b w:val="0"/>
          <w:i w:val="0"/>
          <w:sz w:val="20"/>
        </w:rPr>
        <w:t xml:space="preserve"> stimulate below each participant's full-trajectory median PAC and rest otherwise.</w:t>
      </w:r>
    </w:p>
    <w:p>
      <w:pPr>
        <w:pStyle w:val="BodyText"/>
        <w:spacing w:before="0" w:after="10" w:line="240" w:lineRule="auto"/>
        <w:ind w:firstLine="288"/>
        <w:jc w:val="both"/>
      </w:pPr>
      <w:r>
        <w:rPr>
          <w:rFonts w:ascii="Times New Roman" w:hAnsi="Times New Roman"/>
          <w:b w:val="0"/>
          <w:i w:val="0"/>
          <w:sz w:val="20"/>
        </w:rPr>
        <w:t>The oracle uses the entire recorded trajectory and is not a causal or deployable strategy. For each participant, low PAC was defined relative to that participant's full-trajectory median. The low-PAC stimulation rate measured the fraction of below-median PAC points assigned stimulation. The high-PAC rest rate measured the fraction of above-median PAC points assigned rest. Balanced alignment was their mean:</w:t>
      </w:r>
    </w:p>
    <w:p>
      <w:pPr>
        <w:pStyle w:val="BodyText"/>
        <w:spacing w:before="0" w:after="10" w:line="240" w:lineRule="auto"/>
        <w:ind w:firstLine="288"/>
        <w:jc w:val="both"/>
      </w:pPr>
      <w:r>
        <w:rPr>
          <w:rFonts w:ascii="Times New Roman" w:hAnsi="Times New Roman"/>
          <w:b w:val="0"/>
          <w:i w:val="0"/>
          <w:sz w:val="20"/>
        </w:rPr>
        <w:t>alignment = (low-PAC stimulation rate + high-PAC rest rate) / 2</w:t>
      </w:r>
      <w:r>
        <w:rPr>
          <w:rFonts w:ascii="Times New Roman" w:hAnsi="Times New Roman"/>
          <w:b w:val="0"/>
          <w:i w:val="0"/>
          <w:sz w:val="20"/>
        </w:rPr>
        <w:t>.</w:t>
      </w:r>
    </w:p>
    <w:p>
      <w:pPr>
        <w:pStyle w:val="BodyText"/>
        <w:spacing w:before="0" w:after="10" w:line="240" w:lineRule="auto"/>
        <w:ind w:firstLine="288"/>
        <w:jc w:val="both"/>
      </w:pPr>
      <w:r>
        <w:rPr>
          <w:rFonts w:ascii="Times New Roman" w:hAnsi="Times New Roman"/>
          <w:b w:val="0"/>
          <w:i w:val="0"/>
          <w:sz w:val="20"/>
        </w:rPr>
        <w:t>The replay evaluates decision alignment against recorded PAC. It does not estimate how PAC would physiologically change if counterfactual stimulation decisions were delivered. Because the stimulation-context features are computed from the nominal recorded protocol rather than the controller's decisions, replay does not model a closed feedback loop. It is an offline controller diagnostic, not a prospective experiment.</w:t>
      </w:r>
    </w:p>
    <w:p>
      <w:pPr>
        <w:pStyle w:val="Heading1"/>
        <w:spacing w:before="100" w:after="20" w:line="240" w:lineRule="auto"/>
        <w:jc w:val="center"/>
        <w:keepNext/>
      </w:pPr>
      <w:r>
        <w:rPr>
          <w:rFonts w:ascii="Times New Roman" w:hAnsi="Times New Roman"/>
          <w:b w:val="0"/>
          <w:i w:val="0"/>
          <w:sz w:val="20"/>
        </w:rPr>
        <w:t>Results</w:t>
      </w:r>
    </w:p>
    <w:p>
      <w:pPr>
        <w:pStyle w:val="Heading2"/>
        <w:spacing w:before="60" w:after="0" w:line="240" w:lineRule="auto"/>
        <w:jc w:val="left"/>
        <w:keepNext/>
      </w:pPr>
      <w:r>
        <w:rPr>
          <w:rFonts w:ascii="Times New Roman" w:hAnsi="Times New Roman"/>
          <w:b w:val="0"/>
          <w:i/>
          <w:sz w:val="20"/>
        </w:rPr>
        <w:t>Feature Selection Improved Held-Out Forecasting</w:t>
      </w:r>
    </w:p>
    <w:p>
      <w:pPr>
        <w:pStyle w:val="BodyText"/>
        <w:spacing w:before="0" w:after="10" w:line="240" w:lineRule="auto"/>
        <w:ind w:firstLine="288"/>
        <w:jc w:val="both"/>
      </w:pPr>
      <w:r>
        <w:rPr>
          <w:rFonts w:ascii="Times New Roman" w:hAnsi="Times New Roman"/>
          <w:b w:val="0"/>
          <w:i w:val="0"/>
          <w:sz w:val="20"/>
        </w:rPr>
        <w:t>Table I shows a single-seed TCN ablation on the same participant split. Adding the spectral feature set reduced held-out-participant generalization, while PAC history and stimulation context produced the strongest result.</w:t>
      </w:r>
    </w:p>
    <w:p>
      <w:pPr>
        <w:spacing w:before="40" w:after="20" w:line="240" w:lineRule="auto"/>
        <w:jc w:val="center"/>
        <w:keepNext/>
      </w:pPr>
      <w:r>
        <w:rPr>
          <w:rFonts w:ascii="Times New Roman" w:hAnsi="Times New Roman"/>
          <w:b w:val="0"/>
          <w:i w:val="0"/>
          <w:sz w:val="20"/>
        </w:rPr>
        <w:t>TABLE I. ORIGINAL EXPLORATORY SINGLE-SEED FEATURE ABLATION AT A FIVE-SECOND HORIZON</w:t>
      </w:r>
    </w:p>
    <w:tbl>
      <w:tblPr>
        <w:tblW w:type="dxa" w:w="4752"/>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64"/>
        <w:gridCol w:w="893"/>
        <w:gridCol w:w="1195"/>
      </w:tblGrid>
      <w:tr>
        <w:trPr>
          <w:cantSplit/>
        </w:trPr>
        <w:tc>
          <w:tcPr>
            <w:tcW w:type="dxa" w:w="2664"/>
            <w:tcMar>
              <w:top w:w="40" w:type="dxa"/>
              <w:start w:w="55" w:type="dxa"/>
              <w:bottom w:w="40" w:type="dxa"/>
              <w:end w:w="55" w:type="dxa"/>
            </w:tcMar>
            <w:vAlign w:val="center"/>
          </w:tcPr>
          <w:p>
            <w:pPr>
              <w:spacing w:before="0" w:after="0" w:line="240" w:lineRule="auto"/>
              <w:jc w:val="center"/>
            </w:pPr>
            <w:r>
              <w:rPr>
                <w:rFonts w:ascii="Times New Roman" w:hAnsi="Times New Roman"/>
                <w:b/>
                <w:i w:val="0"/>
                <w:sz w:val="20"/>
              </w:rPr>
              <w:t>Input representation</w:t>
            </w:r>
          </w:p>
        </w:tc>
        <w:tc>
          <w:tcPr>
            <w:tcW w:type="dxa" w:w="893"/>
            <w:tcMar>
              <w:top w:w="40" w:type="dxa"/>
              <w:start w:w="55" w:type="dxa"/>
              <w:bottom w:w="40" w:type="dxa"/>
              <w:end w:w="55" w:type="dxa"/>
            </w:tcMar>
            <w:vAlign w:val="center"/>
          </w:tcPr>
          <w:p>
            <w:pPr>
              <w:spacing w:before="0" w:after="0" w:line="240" w:lineRule="auto"/>
              <w:jc w:val="center"/>
            </w:pPr>
            <w:r>
              <w:rPr>
                <w:rFonts w:ascii="Times New Roman" w:hAnsi="Times New Roman"/>
                <w:b/>
                <w:i w:val="0"/>
                <w:sz w:val="20"/>
              </w:rPr>
              <w:t>Features</w:t>
            </w:r>
          </w:p>
        </w:tc>
        <w:tc>
          <w:tcPr>
            <w:tcW w:type="dxa" w:w="1195"/>
            <w:tcMar>
              <w:top w:w="40" w:type="dxa"/>
              <w:start w:w="55" w:type="dxa"/>
              <w:bottom w:w="40" w:type="dxa"/>
              <w:end w:w="55" w:type="dxa"/>
            </w:tcMar>
            <w:vAlign w:val="center"/>
          </w:tcPr>
          <w:p>
            <w:pPr>
              <w:spacing w:before="0" w:after="0" w:line="240" w:lineRule="auto"/>
              <w:jc w:val="center"/>
            </w:pPr>
            <w:r>
              <w:rPr>
                <w:rFonts w:ascii="Times New Roman" w:hAnsi="Times New Roman"/>
                <w:b/>
                <w:i w:val="0"/>
                <w:sz w:val="20"/>
              </w:rPr>
              <w:t>Test R2</w:t>
            </w:r>
          </w:p>
        </w:tc>
      </w:tr>
      <w:tr>
        <w:trPr>
          <w:cantSplit/>
        </w:trPr>
        <w:tc>
          <w:tcPr>
            <w:tcW w:type="dxa" w:w="2664"/>
            <w:tcMar>
              <w:top w:w="40" w:type="dxa"/>
              <w:start w:w="55" w:type="dxa"/>
              <w:bottom w:w="40" w:type="dxa"/>
              <w:end w:w="55" w:type="dxa"/>
            </w:tcMar>
            <w:vAlign w:val="center"/>
          </w:tcPr>
          <w:p>
            <w:pPr>
              <w:spacing w:before="0" w:after="0" w:line="240" w:lineRule="auto"/>
              <w:jc w:val="left"/>
            </w:pPr>
            <w:r>
              <w:rPr>
                <w:rFonts w:ascii="Times New Roman" w:hAnsi="Times New Roman"/>
                <w:b w:val="0"/>
                <w:i w:val="0"/>
                <w:sz w:val="20"/>
              </w:rPr>
              <w:t>Spectral only</w:t>
            </w:r>
          </w:p>
        </w:tc>
        <w:tc>
          <w:tcPr>
            <w:tcW w:type="dxa" w:w="893"/>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61</w:t>
            </w:r>
          </w:p>
        </w:tc>
        <w:tc>
          <w:tcPr>
            <w:tcW w:type="dxa" w:w="1195"/>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-0.420</w:t>
            </w:r>
          </w:p>
        </w:tc>
      </w:tr>
      <w:tr>
        <w:trPr>
          <w:cantSplit/>
        </w:trPr>
        <w:tc>
          <w:tcPr>
            <w:tcW w:type="dxa" w:w="2664"/>
            <w:tcMar>
              <w:top w:w="40" w:type="dxa"/>
              <w:start w:w="55" w:type="dxa"/>
              <w:bottom w:w="40" w:type="dxa"/>
              <w:end w:w="55" w:type="dxa"/>
            </w:tcMar>
            <w:vAlign w:val="center"/>
          </w:tcPr>
          <w:p>
            <w:pPr>
              <w:spacing w:before="0" w:after="0" w:line="240" w:lineRule="auto"/>
              <w:jc w:val="left"/>
            </w:pPr>
            <w:r>
              <w:rPr>
                <w:rFonts w:ascii="Times New Roman" w:hAnsi="Times New Roman"/>
                <w:b w:val="0"/>
                <w:i w:val="0"/>
                <w:sz w:val="20"/>
              </w:rPr>
              <w:t>All candidate features</w:t>
            </w:r>
          </w:p>
        </w:tc>
        <w:tc>
          <w:tcPr>
            <w:tcW w:type="dxa" w:w="893"/>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73</w:t>
            </w:r>
          </w:p>
        </w:tc>
        <w:tc>
          <w:tcPr>
            <w:tcW w:type="dxa" w:w="1195"/>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-0.025</w:t>
            </w:r>
          </w:p>
        </w:tc>
      </w:tr>
      <w:tr>
        <w:trPr>
          <w:cantSplit/>
        </w:trPr>
        <w:tc>
          <w:tcPr>
            <w:tcW w:type="dxa" w:w="2664"/>
            <w:tcMar>
              <w:top w:w="40" w:type="dxa"/>
              <w:start w:w="55" w:type="dxa"/>
              <w:bottom w:w="40" w:type="dxa"/>
              <w:end w:w="55" w:type="dxa"/>
            </w:tcMar>
            <w:vAlign w:val="center"/>
          </w:tcPr>
          <w:p>
            <w:pPr>
              <w:spacing w:before="0" w:after="0" w:line="240" w:lineRule="auto"/>
              <w:jc w:val="left"/>
            </w:pPr>
            <w:r>
              <w:rPr>
                <w:rFonts w:ascii="Times New Roman" w:hAnsi="Times New Roman"/>
                <w:b w:val="0"/>
                <w:i w:val="0"/>
                <w:sz w:val="20"/>
              </w:rPr>
              <w:t>PAC trajectory only</w:t>
            </w:r>
          </w:p>
        </w:tc>
        <w:tc>
          <w:tcPr>
            <w:tcW w:type="dxa" w:w="893"/>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7</w:t>
            </w:r>
          </w:p>
        </w:tc>
        <w:tc>
          <w:tcPr>
            <w:tcW w:type="dxa" w:w="1195"/>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0.344</w:t>
            </w:r>
          </w:p>
        </w:tc>
      </w:tr>
      <w:tr>
        <w:trPr>
          <w:cantSplit/>
        </w:trPr>
        <w:tc>
          <w:tcPr>
            <w:tcW w:type="dxa" w:w="2664"/>
            <w:tcMar>
              <w:top w:w="40" w:type="dxa"/>
              <w:start w:w="55" w:type="dxa"/>
              <w:bottom w:w="40" w:type="dxa"/>
              <w:end w:w="55" w:type="dxa"/>
            </w:tcMar>
            <w:vAlign w:val="center"/>
          </w:tcPr>
          <w:p>
            <w:pPr>
              <w:spacing w:before="0" w:after="0" w:line="240" w:lineRule="auto"/>
              <w:jc w:val="left"/>
            </w:pPr>
            <w:r>
              <w:rPr>
                <w:rFonts w:ascii="Times New Roman" w:hAnsi="Times New Roman"/>
                <w:b w:val="0"/>
                <w:i w:val="0"/>
                <w:sz w:val="20"/>
              </w:rPr>
              <w:t>PAC trajectory + stimulation context</w:t>
            </w:r>
          </w:p>
        </w:tc>
        <w:tc>
          <w:tcPr>
            <w:tcW w:type="dxa" w:w="893"/>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12</w:t>
            </w:r>
          </w:p>
        </w:tc>
        <w:tc>
          <w:tcPr>
            <w:tcW w:type="dxa" w:w="1195"/>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0.558</w:t>
            </w:r>
          </w:p>
        </w:tc>
      </w:tr>
    </w:tbl>
    <w:p/>
    <w:p>
      <w:pPr>
        <w:pStyle w:val="BodyText"/>
        <w:spacing w:before="0" w:after="10" w:line="240" w:lineRule="auto"/>
        <w:ind w:firstLine="288"/>
        <w:jc w:val="both"/>
      </w:pPr>
      <w:r>
        <w:rPr>
          <w:rFonts w:ascii="Times New Roman" w:hAnsi="Times New Roman"/>
          <w:b w:val="0"/>
          <w:i w:val="0"/>
          <w:sz w:val="20"/>
        </w:rPr>
        <w:t>The ablation does not prove a biological mechanism for the spectral features' failure. It shows that the larger spectral representation introduces variation that does not transfer effectively to the held-out participants in this dataset.</w:t>
      </w:r>
    </w:p>
    <w:p>
      <w:pPr>
        <w:pStyle w:val="BodyText"/>
        <w:spacing w:before="0" w:after="10" w:line="240" w:lineRule="auto"/>
        <w:ind w:firstLine="288"/>
        <w:jc w:val="both"/>
      </w:pPr>
      <w:r>
        <w:rPr>
          <w:rFonts w:ascii="Times New Roman" w:hAnsi="Times New Roman"/>
          <w:b w:val="0"/>
          <w:i w:val="0"/>
          <w:sz w:val="20"/>
        </w:rPr>
        <w:t xml:space="preserve">Across five seeds, the selected 12-feature TCN achieved mean test </w:t>
      </w:r>
      <w:r>
        <w:rPr>
          <w:rFonts w:ascii="Times New Roman" w:hAnsi="Times New Roman"/>
          <w:b w:val="0"/>
          <w:i w:val="0"/>
          <w:sz w:val="20"/>
        </w:rPr>
        <w:t>R-squared = 0.606</w:t>
      </w:r>
      <w:r>
        <w:rPr>
          <w:rFonts w:ascii="Times New Roman" w:hAnsi="Times New Roman"/>
          <w:b w:val="0"/>
          <w:i w:val="0"/>
          <w:sz w:val="20"/>
        </w:rPr>
        <w:t xml:space="preserve">, with a range from </w:t>
      </w:r>
      <w:r>
        <w:rPr>
          <w:rFonts w:ascii="Times New Roman" w:hAnsi="Times New Roman"/>
          <w:b w:val="0"/>
          <w:i w:val="0"/>
          <w:sz w:val="20"/>
        </w:rPr>
        <w:t>0.558</w:t>
      </w:r>
      <w:r>
        <w:rPr>
          <w:rFonts w:ascii="Times New Roman" w:hAnsi="Times New Roman"/>
          <w:b w:val="0"/>
          <w:i w:val="0"/>
          <w:sz w:val="20"/>
        </w:rPr>
        <w:t xml:space="preserve"> to </w:t>
      </w:r>
      <w:r>
        <w:rPr>
          <w:rFonts w:ascii="Times New Roman" w:hAnsi="Times New Roman"/>
          <w:b w:val="0"/>
          <w:i w:val="0"/>
          <w:sz w:val="20"/>
        </w:rPr>
        <w:t>0.647</w:t>
      </w:r>
      <w:r>
        <w:rPr>
          <w:rFonts w:ascii="Times New Roman" w:hAnsi="Times New Roman"/>
          <w:b w:val="0"/>
          <w:i w:val="0"/>
          <w:sz w:val="20"/>
        </w:rPr>
        <w:t xml:space="preserve">. At the same five-second horizon, a last-value persistence baseline achieved </w:t>
      </w:r>
      <w:r>
        <w:rPr>
          <w:rFonts w:ascii="Times New Roman" w:hAnsi="Times New Roman"/>
          <w:b w:val="0"/>
          <w:i w:val="0"/>
          <w:sz w:val="20"/>
        </w:rPr>
        <w:t>R-squared = 0.104</w:t>
      </w:r>
      <w:r>
        <w:rPr>
          <w:rFonts w:ascii="Times New Roman" w:hAnsi="Times New Roman"/>
          <w:b w:val="0"/>
          <w:i w:val="0"/>
          <w:sz w:val="20"/>
        </w:rPr>
        <w:t>.</w:t>
      </w:r>
    </w:p>
    <w:p>
      <w:pPr>
        <w:pStyle w:val="Heading2"/>
        <w:spacing w:before="60" w:after="0" w:line="240" w:lineRule="auto"/>
        <w:jc w:val="left"/>
        <w:keepNext/>
      </w:pPr>
      <w:r>
        <w:rPr>
          <w:rFonts w:ascii="Times New Roman" w:hAnsi="Times New Roman"/>
          <w:b w:val="0"/>
          <w:i/>
          <w:sz w:val="20"/>
        </w:rPr>
        <w:t>Backward-Looking PAC Changed the Model-Selection Result</w:t>
      </w:r>
    </w:p>
    <w:p>
      <w:pPr>
        <w:pStyle w:val="BodyText"/>
        <w:spacing w:before="0" w:after="10" w:line="240" w:lineRule="auto"/>
        <w:ind w:firstLine="288"/>
        <w:jc w:val="both"/>
      </w:pPr>
      <w:r>
        <w:rPr>
          <w:rFonts w:ascii="Times New Roman" w:hAnsi="Times New Roman"/>
          <w:b w:val="0"/>
          <w:i w:val="0"/>
          <w:sz w:val="20"/>
        </w:rPr>
        <w:t>Figure 1 compares the event-summary benchmark with the backward-looking PAC stress test using the same TCN architecture at one random seed and one fixed split. Unique held-out targets increased from 104 to 2,678, and adjacent target repetition decreased from 96.2% to 0.0%. Persistence R-squared decreased from 0.104 to -0.897. The backward-looking target retained modest predictable structure, but the TCN did not outperform Ridge regression (0.212 versus 0.216). The event-summary result is a diagnostic of stored-series structure, not evidence that a nonlinear TCN is necessary for an online-compatible forecaster.</w:t>
      </w:r>
    </w:p>
    <w:p>
      <w:pPr>
        <w:spacing w:before="40" w:after="0" w:line="240" w:lineRule="auto"/>
        <w:jc w:val="center"/>
        <w:keepNext/>
      </w:pPr>
      <w:r>
        <w:drawing>
          <wp:inline xmlns:a="http://schemas.openxmlformats.org/drawingml/2006/main" xmlns:pic="http://schemas.openxmlformats.org/drawingml/2006/picture">
            <wp:extent cx="3017520" cy="3193765"/>
            <wp:docPr id="1" name="Picture 1"/>
            <wp:cNvGraphicFramePr>
              <a:graphicFrameLocks noChangeAspect="1"/>
            </wp:cNvGraphicFramePr>
            <a:graphic>
              <a:graphicData uri="http://schemas.openxmlformats.org/drawingml/2006/picture">
                <pic:pic>
                  <pic:nvPicPr>
                    <pic:cNvPr id="0" name="pac_benchmark_stress_test.png"/>
                    <pic:cNvPicPr/>
                  </pic:nvPicPr>
                  <pic:blipFill>
                    <a:blip r:embed="rId11"/>
                    <a:stretch>
                      <a:fillRect/>
                    </a:stretch>
                  </pic:blipFill>
                  <pic:spPr>
                    <a:xfrm>
                      <a:off x="0" y="0"/>
                      <a:ext cx="3017520" cy="3193765"/>
                    </a:xfrm>
                    <a:prstGeom prst="rect"/>
                  </pic:spPr>
                </pic:pic>
              </a:graphicData>
            </a:graphic>
          </wp:inline>
        </w:drawing>
      </w:r>
    </w:p>
    <w:p>
      <w:pPr>
        <w:pStyle w:val="figurecaption"/>
        <w:spacing w:before="0" w:after="40" w:line="240" w:lineRule="auto"/>
        <w:jc w:val="center"/>
        <w:keepLines/>
      </w:pPr>
      <w:r>
        <w:rPr>
          <w:rFonts w:ascii="Times New Roman" w:hAnsi="Times New Roman"/>
          <w:b w:val="0"/>
          <w:i/>
          <w:sz w:val="20"/>
        </w:rPr>
        <w:t>Target-definition stress test. Complete-event PAC back-assignment includes later samples in early-window inputs; backward-looking PAC restricts each context to samples available by its timestamp. Bars show single-seed fixed-split R-squared on six held-out participants (2,678 sequences); no confidence intervals are shown.</w:t>
      </w:r>
    </w:p>
    <w:p>
      <w:pPr>
        <w:pStyle w:val="Heading2"/>
        <w:spacing w:before="60" w:after="0" w:line="240" w:lineRule="auto"/>
        <w:jc w:val="left"/>
        <w:keepNext/>
      </w:pPr>
      <w:r>
        <w:rPr>
          <w:rFonts w:ascii="Times New Roman" w:hAnsi="Times New Roman"/>
          <w:b w:val="0"/>
          <w:i/>
          <w:sz w:val="20"/>
        </w:rPr>
        <w:t>Predictive Replay Increased Low-PAC Coverage but Did Not Improve Overall Alignment</w:t>
      </w:r>
    </w:p>
    <w:p>
      <w:pPr>
        <w:pStyle w:val="BodyText"/>
        <w:spacing w:before="0" w:after="10" w:line="240" w:lineRule="auto"/>
        <w:ind w:firstLine="288"/>
        <w:jc w:val="both"/>
      </w:pPr>
      <w:r>
        <w:rPr>
          <w:rFonts w:ascii="Times New Roman" w:hAnsi="Times New Roman"/>
          <w:b w:val="0"/>
          <w:i w:val="0"/>
          <w:sz w:val="20"/>
        </w:rPr>
        <w:t>Table II reports offline replay of the integrated 12-feature checkpoint across all 35 recorded trajectories. The predictive controller improved low-PAC stimulation coverage by 22.1 percentage points relative to reactive thresholding, assigning stimulation to more below-median PAC samples. However, the above-median-PAC rest rate decreased by 26.6 points. The predictive rule therefore found more low-PAC periods, but it did so by stimulating more often during periods that the replay metric would prefer to leave at rest.</w:t>
      </w:r>
    </w:p>
    <w:p>
      <w:pPr>
        <w:spacing w:before="40" w:after="20" w:line="240" w:lineRule="auto"/>
        <w:jc w:val="center"/>
        <w:keepNext/>
      </w:pPr>
      <w:r>
        <w:rPr>
          <w:rFonts w:ascii="Times New Roman" w:hAnsi="Times New Roman"/>
          <w:b w:val="0"/>
          <w:i w:val="0"/>
          <w:sz w:val="20"/>
        </w:rPr>
        <w:t>TABLE II. RETROSPECTIVE CONTROLLER REPLAY ON 35 RECORDED TRAJECTORIES</w:t>
      </w:r>
    </w:p>
    <w:tbl>
      <w:tblPr>
        <w:tblW w:type="dxa" w:w="4752"/>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86"/>
        <w:gridCol w:w="706"/>
        <w:gridCol w:w="706"/>
        <w:gridCol w:w="706"/>
        <w:gridCol w:w="850"/>
      </w:tblGrid>
      <w:tr>
        <w:trPr>
          <w:cantSplit/>
        </w:trPr>
        <w:tc>
          <w:tcPr>
            <w:tcW w:type="dxa" w:w="1786"/>
            <w:tcMar>
              <w:top w:w="40" w:type="dxa"/>
              <w:start w:w="55" w:type="dxa"/>
              <w:bottom w:w="40" w:type="dxa"/>
              <w:end w:w="55" w:type="dxa"/>
            </w:tcMar>
            <w:vAlign w:val="center"/>
          </w:tcPr>
          <w:p>
            <w:pPr>
              <w:spacing w:before="0" w:after="0" w:line="240" w:lineRule="auto"/>
              <w:jc w:val="center"/>
            </w:pPr>
            <w:r>
              <w:rPr>
                <w:rFonts w:ascii="Times New Roman" w:hAnsi="Times New Roman"/>
                <w:b/>
                <w:i w:val="0"/>
                <w:sz w:val="20"/>
              </w:rPr>
              <w:t>Strategy</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i w:val="0"/>
                <w:sz w:val="20"/>
              </w:rPr>
              <w:t>Bal. align.</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i w:val="0"/>
                <w:sz w:val="20"/>
              </w:rPr>
              <w:t>Low stim.</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i w:val="0"/>
                <w:sz w:val="20"/>
              </w:rPr>
              <w:t>High rest</w:t>
            </w:r>
          </w:p>
        </w:tc>
        <w:tc>
          <w:tcPr>
            <w:tcW w:type="dxa" w:w="850"/>
            <w:tcMar>
              <w:top w:w="40" w:type="dxa"/>
              <w:start w:w="55" w:type="dxa"/>
              <w:bottom w:w="40" w:type="dxa"/>
              <w:end w:w="55" w:type="dxa"/>
            </w:tcMar>
            <w:vAlign w:val="center"/>
          </w:tcPr>
          <w:p>
            <w:pPr>
              <w:spacing w:before="0" w:after="0" w:line="240" w:lineRule="auto"/>
              <w:jc w:val="center"/>
            </w:pPr>
            <w:r>
              <w:rPr>
                <w:rFonts w:ascii="Times New Roman" w:hAnsi="Times New Roman"/>
                <w:b/>
                <w:i w:val="0"/>
                <w:sz w:val="20"/>
              </w:rPr>
              <w:t>MI gap x 10^-6</w:t>
            </w:r>
          </w:p>
        </w:tc>
      </w:tr>
      <w:tr>
        <w:trPr>
          <w:cantSplit/>
        </w:trPr>
        <w:tc>
          <w:tcPr>
            <w:tcW w:type="dxa" w:w="1786"/>
            <w:tcMar>
              <w:top w:w="40" w:type="dxa"/>
              <w:start w:w="55" w:type="dxa"/>
              <w:bottom w:w="40" w:type="dxa"/>
              <w:end w:w="55" w:type="dxa"/>
            </w:tcMar>
            <w:vAlign w:val="center"/>
          </w:tcPr>
          <w:p>
            <w:pPr>
              <w:spacing w:before="0" w:after="0" w:line="240" w:lineRule="auto"/>
              <w:jc w:val="left"/>
            </w:pPr>
            <w:r>
              <w:rPr>
                <w:rFonts w:ascii="Times New Roman" w:hAnsi="Times New Roman"/>
                <w:b w:val="0"/>
                <w:i w:val="0"/>
                <w:sz w:val="20"/>
              </w:rPr>
              <w:t>Fixed schedule</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45.0%</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61.4%</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28.6%</w:t>
            </w:r>
          </w:p>
        </w:tc>
        <w:tc>
          <w:tcPr>
            <w:tcW w:type="dxa" w:w="850"/>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-6.55</w:t>
            </w:r>
          </w:p>
        </w:tc>
      </w:tr>
      <w:tr>
        <w:trPr>
          <w:cantSplit/>
        </w:trPr>
        <w:tc>
          <w:tcPr>
            <w:tcW w:type="dxa" w:w="1786"/>
            <w:tcMar>
              <w:top w:w="40" w:type="dxa"/>
              <w:start w:w="55" w:type="dxa"/>
              <w:bottom w:w="40" w:type="dxa"/>
              <w:end w:w="55" w:type="dxa"/>
            </w:tcMar>
            <w:vAlign w:val="center"/>
          </w:tcPr>
          <w:p>
            <w:pPr>
              <w:spacing w:before="0" w:after="0" w:line="240" w:lineRule="auto"/>
              <w:jc w:val="left"/>
            </w:pPr>
            <w:r>
              <w:rPr>
                <w:rFonts w:ascii="Times New Roman" w:hAnsi="Times New Roman"/>
                <w:b w:val="0"/>
                <w:i w:val="0"/>
                <w:sz w:val="20"/>
              </w:rPr>
              <w:t>Reactive threshold</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64.5%</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51.7%</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77.3%</w:t>
            </w:r>
          </w:p>
        </w:tc>
        <w:tc>
          <w:tcPr>
            <w:tcW w:type="dxa" w:w="850"/>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21.09</w:t>
            </w:r>
          </w:p>
        </w:tc>
      </w:tr>
      <w:tr>
        <w:trPr>
          <w:cantSplit/>
        </w:trPr>
        <w:tc>
          <w:tcPr>
            <w:tcW w:type="dxa" w:w="1786"/>
            <w:tcMar>
              <w:top w:w="40" w:type="dxa"/>
              <w:start w:w="55" w:type="dxa"/>
              <w:bottom w:w="40" w:type="dxa"/>
              <w:end w:w="55" w:type="dxa"/>
            </w:tcMar>
            <w:vAlign w:val="center"/>
          </w:tcPr>
          <w:p>
            <w:pPr>
              <w:spacing w:before="0" w:after="0" w:line="240" w:lineRule="auto"/>
              <w:jc w:val="left"/>
            </w:pPr>
            <w:r>
              <w:rPr>
                <w:rFonts w:ascii="Times New Roman" w:hAnsi="Times New Roman"/>
                <w:b w:val="0"/>
                <w:i w:val="0"/>
                <w:sz w:val="20"/>
              </w:rPr>
              <w:t>TCN predictive (12-feature)</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62.2%</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73.8%</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50.7%</w:t>
            </w:r>
          </w:p>
        </w:tc>
        <w:tc>
          <w:tcPr>
            <w:tcW w:type="dxa" w:w="850"/>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21.02</w:t>
            </w:r>
          </w:p>
        </w:tc>
      </w:tr>
      <w:tr>
        <w:trPr>
          <w:cantSplit/>
        </w:trPr>
        <w:tc>
          <w:tcPr>
            <w:tcW w:type="dxa" w:w="1786"/>
            <w:tcMar>
              <w:top w:w="40" w:type="dxa"/>
              <w:start w:w="55" w:type="dxa"/>
              <w:bottom w:w="40" w:type="dxa"/>
              <w:end w:w="55" w:type="dxa"/>
            </w:tcMar>
            <w:vAlign w:val="center"/>
          </w:tcPr>
          <w:p>
            <w:pPr>
              <w:spacing w:before="0" w:after="0" w:line="240" w:lineRule="auto"/>
              <w:jc w:val="left"/>
            </w:pPr>
            <w:r>
              <w:rPr>
                <w:rFonts w:ascii="Times New Roman" w:hAnsi="Times New Roman"/>
                <w:b w:val="0"/>
                <w:i w:val="0"/>
                <w:sz w:val="20"/>
              </w:rPr>
              <w:t>Alignment oracle</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100%</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100%</w:t>
            </w:r>
          </w:p>
        </w:tc>
        <w:tc>
          <w:tcPr>
            <w:tcW w:type="dxa" w:w="706"/>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100%</w:t>
            </w:r>
          </w:p>
        </w:tc>
        <w:tc>
          <w:tcPr>
            <w:tcW w:type="dxa" w:w="850"/>
            <w:tcMar>
              <w:top w:w="40" w:type="dxa"/>
              <w:start w:w="55" w:type="dxa"/>
              <w:bottom w:w="40" w:type="dxa"/>
              <w:end w:w="55" w:type="dxa"/>
            </w:tcMar>
            <w:vAlign w:val="center"/>
          </w:tcPr>
          <w:p>
            <w:pPr>
              <w:spacing w:before="0" w:after="0" w:line="240" w:lineRule="auto"/>
              <w:jc w:val="center"/>
            </w:pPr>
            <w:r>
              <w:rPr>
                <w:rFonts w:ascii="Times New Roman" w:hAnsi="Times New Roman"/>
                <w:b w:val="0"/>
                <w:i w:val="0"/>
                <w:sz w:val="20"/>
              </w:rPr>
              <w:t>33.36</w:t>
            </w:r>
          </w:p>
        </w:tc>
      </w:tr>
    </w:tbl>
    <w:p/>
    <w:p>
      <w:pPr>
        <w:pStyle w:val="BodyText"/>
        <w:spacing w:before="0" w:after="10" w:line="240" w:lineRule="auto"/>
        <w:ind w:firstLine="288"/>
        <w:jc w:val="both"/>
      </w:pPr>
      <w:r>
        <w:rPr>
          <w:rFonts w:ascii="Times New Roman" w:hAnsi="Times New Roman"/>
          <w:b w:val="0"/>
          <w:i w:val="0"/>
          <w:sz w:val="20"/>
        </w:rPr>
        <w:t>The PAC gap is mean PAC during rest minus mean PAC during stimulation, reported in x 10^-6 modulation-index units. A positive value indicates that stimulation decisions are concentrated more strongly in lower-PAC periods. The predictive and reactive strategies produced nearly identical PAC gaps despite different action profiles.</w:t>
      </w:r>
    </w:p>
    <w:p>
      <w:pPr>
        <w:pStyle w:val="Heading2"/>
        <w:spacing w:before="60" w:after="0" w:line="240" w:lineRule="auto"/>
        <w:jc w:val="left"/>
        <w:keepNext/>
      </w:pPr>
      <w:r>
        <w:rPr>
          <w:rFonts w:ascii="Times New Roman" w:hAnsi="Times New Roman"/>
          <w:b w:val="0"/>
          <w:i/>
          <w:sz w:val="20"/>
        </w:rPr>
        <w:t>Leakage Checks and Label-Resolution Caveat</w:t>
      </w:r>
    </w:p>
    <w:p>
      <w:pPr>
        <w:pStyle w:val="BodyText"/>
        <w:spacing w:before="0" w:after="10" w:line="240" w:lineRule="auto"/>
        <w:ind w:firstLine="288"/>
        <w:jc w:val="both"/>
      </w:pPr>
      <w:r>
        <w:rPr>
          <w:rFonts w:ascii="Times New Roman" w:hAnsi="Times New Roman"/>
          <w:b w:val="0"/>
          <w:i w:val="0"/>
          <w:sz w:val="20"/>
        </w:rPr>
        <w:t xml:space="preserve">The stored temporal dataset was audited for subject overlap, future-index ordering, and normalization contamination. No participant appeared in more than one split. Every target index was exactly five steps after the sequence endpoint. Recomputed training statistics matched the stored normalizers. A reduced-model permutation test produced approximately zero validation </w:t>
      </w:r>
      <w:r>
        <w:rPr>
          <w:rFonts w:ascii="Times New Roman" w:hAnsi="Times New Roman"/>
          <w:b w:val="0"/>
          <w:i w:val="0"/>
          <w:sz w:val="20"/>
        </w:rPr>
        <w:t>R-squared</w:t>
      </w:r>
      <w:r>
        <w:rPr>
          <w:rFonts w:ascii="Times New Roman" w:hAnsi="Times New Roman"/>
          <w:b w:val="0"/>
          <w:i w:val="0"/>
          <w:sz w:val="20"/>
        </w:rPr>
        <w:t xml:space="preserve"> across five independent label shuffles.</w:t>
      </w:r>
    </w:p>
    <w:p>
      <w:pPr>
        <w:pStyle w:val="BodyText"/>
        <w:spacing w:before="0" w:after="10" w:line="240" w:lineRule="auto"/>
        <w:ind w:firstLine="288"/>
        <w:jc w:val="both"/>
      </w:pPr>
      <w:r>
        <w:rPr>
          <w:rFonts w:ascii="Times New Roman" w:hAnsi="Times New Roman"/>
          <w:b w:val="0"/>
          <w:i w:val="0"/>
          <w:sz w:val="20"/>
        </w:rPr>
        <w:t xml:space="preserve">The main caveat is how PAC labels were computed and assigned. Because PAC is computed over complete event periods, </w:t>
      </w:r>
      <w:r>
        <w:rPr>
          <w:rFonts w:ascii="Times New Roman" w:hAnsi="Times New Roman"/>
          <w:b w:val="0"/>
          <w:i w:val="0"/>
          <w:sz w:val="20"/>
        </w:rPr>
        <w:t>82.2%</w:t>
      </w:r>
      <w:r>
        <w:rPr>
          <w:rFonts w:ascii="Times New Roman" w:hAnsi="Times New Roman"/>
          <w:b w:val="0"/>
          <w:i w:val="0"/>
          <w:sz w:val="20"/>
        </w:rPr>
        <w:t xml:space="preserve"> of five-step sample pairs have identical current and target PAC values. Persistence still achieves only </w:t>
      </w:r>
      <w:r>
        <w:rPr>
          <w:rFonts w:ascii="Times New Roman" w:hAnsi="Times New Roman"/>
          <w:b w:val="0"/>
          <w:i w:val="0"/>
          <w:sz w:val="20"/>
        </w:rPr>
        <w:t>R-squared = 0.104</w:t>
      </w:r>
      <w:r>
        <w:rPr>
          <w:rFonts w:ascii="Times New Roman" w:hAnsi="Times New Roman"/>
          <w:b w:val="0"/>
          <w:i w:val="0"/>
          <w:sz w:val="20"/>
        </w:rPr>
        <w:t xml:space="preserve"> on the held-out test split and </w:t>
      </w:r>
      <w:r>
        <w:rPr>
          <w:rFonts w:ascii="Times New Roman" w:hAnsi="Times New Roman"/>
          <w:b w:val="0"/>
          <w:i w:val="0"/>
          <w:sz w:val="20"/>
        </w:rPr>
        <w:t>R-squared = -0.272</w:t>
      </w:r>
      <w:r>
        <w:rPr>
          <w:rFonts w:ascii="Times New Roman" w:hAnsi="Times New Roman"/>
          <w:b w:val="0"/>
          <w:i w:val="0"/>
          <w:sz w:val="20"/>
        </w:rPr>
        <w:t xml:space="preserve"> on cross-event transitions. However, event-period back-assignment means that the stored current-PAC input is not yet a validated online feature. The forecasting results evaluate retrospective temporal structure, not an end-to-end streaming predictor.</w:t>
      </w:r>
    </w:p>
    <w:p>
      <w:pPr>
        <w:pStyle w:val="Heading1"/>
        <w:spacing w:before="100" w:after="20" w:line="240" w:lineRule="auto"/>
        <w:jc w:val="center"/>
        <w:keepNext/>
      </w:pPr>
      <w:r>
        <w:rPr>
          <w:rFonts w:ascii="Times New Roman" w:hAnsi="Times New Roman"/>
          <w:b w:val="0"/>
          <w:i w:val="0"/>
          <w:sz w:val="20"/>
        </w:rPr>
        <w:t>Discussion</w:t>
      </w:r>
    </w:p>
    <w:p>
      <w:pPr>
        <w:pStyle w:val="BodyText"/>
        <w:spacing w:before="0" w:after="10" w:line="240" w:lineRule="auto"/>
        <w:ind w:firstLine="288"/>
        <w:jc w:val="both"/>
      </w:pPr>
      <w:r>
        <w:rPr>
          <w:rFonts w:ascii="Times New Roman" w:hAnsi="Times New Roman"/>
          <w:b w:val="0"/>
          <w:i w:val="0"/>
          <w:sz w:val="20"/>
        </w:rPr>
        <w:t>The forecasting results show that stored PAC histories and stimulation context contain information that predicts PAC in held-out participants under the event-summary label definition. Feature selection mattered within that benchmark: the compact representation transferred to unseen participants more effectively than the larger candidate set. The target definition mattered more. When PAC was recomputed from backward-looking contexts, Ridge and TCN both had positive held-out R-squared, but the nonlinear advantage disappeared. This suggests that target construction should be benchmarked before adding model complexity.</w:t>
      </w:r>
    </w:p>
    <w:p>
      <w:pPr>
        <w:pStyle w:val="BodyText"/>
        <w:spacing w:before="0" w:after="10" w:line="240" w:lineRule="auto"/>
        <w:ind w:firstLine="288"/>
        <w:jc w:val="both"/>
      </w:pPr>
      <w:r>
        <w:rPr>
          <w:rFonts w:ascii="Times New Roman" w:hAnsi="Times New Roman"/>
          <w:b w:val="0"/>
          <w:i w:val="0"/>
          <w:sz w:val="20"/>
        </w:rPr>
        <w:t>The replay separates forecast quality from controller performance. The integrated checkpoint stimulates more low-PAC periods, but it also stimulates too frequently during above-median-PAC periods. A future controller should tune its objective for both low-PAC coverage and high-PAC sparing, evaluate thresholds on held-out participants, feed counterfactual actions back into stimulation-context features during simulation, and replace back-assigned PAC summaries with an online estimator. A corrected-target feature ablation should also separate PAC-only, stimulation-context-only, and combined inputs to distinguish biomarker dynamics from recorded schedule structure.</w:t>
      </w:r>
    </w:p>
    <w:p>
      <w:pPr>
        <w:pStyle w:val="BodyText"/>
        <w:spacing w:before="0" w:after="10" w:line="240" w:lineRule="auto"/>
        <w:ind w:firstLine="288"/>
        <w:jc w:val="both"/>
      </w:pPr>
      <w:r>
        <w:rPr>
          <w:rFonts w:ascii="Times New Roman" w:hAnsi="Times New Roman"/>
          <w:b w:val="0"/>
          <w:i w:val="0"/>
          <w:sz w:val="20"/>
        </w:rPr>
        <w:t>The study has seven main limitations:</w:t>
      </w:r>
    </w:p>
    <w:p>
      <w:pPr>
        <w:pStyle w:val="BodyText"/>
        <w:spacing w:before="0" w:after="0" w:line="240" w:lineRule="auto"/>
        <w:ind w:left="259" w:hanging="259"/>
        <w:jc w:val="both"/>
      </w:pPr>
      <w:r>
        <w:rPr>
          <w:rFonts w:ascii="Times New Roman" w:hAnsi="Times New Roman"/>
          <w:b w:val="0"/>
          <w:i w:val="0"/>
          <w:sz w:val="20"/>
        </w:rPr>
        <w:t xml:space="preserve">1. </w:t>
      </w:r>
      <w:r>
        <w:rPr>
          <w:rFonts w:ascii="Times New Roman" w:hAnsi="Times New Roman"/>
          <w:b w:val="0"/>
          <w:i w:val="0"/>
          <w:sz w:val="20"/>
        </w:rPr>
        <w:t>The controller evaluation is retrospective replay, not a live intervention.</w:t>
      </w:r>
    </w:p>
    <w:p>
      <w:pPr>
        <w:pStyle w:val="BodyText"/>
        <w:spacing w:before="0" w:after="0" w:line="240" w:lineRule="auto"/>
        <w:ind w:left="259" w:hanging="259"/>
        <w:jc w:val="both"/>
      </w:pPr>
      <w:r>
        <w:rPr>
          <w:rFonts w:ascii="Times New Roman" w:hAnsi="Times New Roman"/>
          <w:b w:val="0"/>
          <w:i w:val="0"/>
          <w:sz w:val="20"/>
        </w:rPr>
        <w:t xml:space="preserve">2. </w:t>
      </w:r>
      <w:r>
        <w:rPr>
          <w:rFonts w:ascii="Times New Roman" w:hAnsi="Times New Roman"/>
          <w:b w:val="0"/>
          <w:i w:val="0"/>
          <w:sz w:val="20"/>
        </w:rPr>
        <w:t>The replay cannot estimate physiological responses to counterfactual stimulation timing.</w:t>
      </w:r>
    </w:p>
    <w:p>
      <w:pPr>
        <w:pStyle w:val="BodyText"/>
        <w:spacing w:before="0" w:after="0" w:line="240" w:lineRule="auto"/>
        <w:ind w:left="259" w:hanging="259"/>
        <w:jc w:val="both"/>
      </w:pPr>
      <w:r>
        <w:rPr>
          <w:rFonts w:ascii="Times New Roman" w:hAnsi="Times New Roman"/>
          <w:b w:val="0"/>
          <w:i w:val="0"/>
          <w:sz w:val="20"/>
        </w:rPr>
        <w:t xml:space="preserve">3. </w:t>
      </w:r>
      <w:r>
        <w:rPr>
          <w:rFonts w:ascii="Times New Roman" w:hAnsi="Times New Roman"/>
          <w:b w:val="0"/>
          <w:i w:val="0"/>
          <w:sz w:val="20"/>
        </w:rPr>
        <w:t>Primary PAC inputs are complete-event summaries assigned back to constituent windows and are not validated as streaming-available features.</w:t>
      </w:r>
    </w:p>
    <w:p>
      <w:pPr>
        <w:pStyle w:val="BodyText"/>
        <w:spacing w:before="0" w:after="0" w:line="240" w:lineRule="auto"/>
        <w:ind w:left="259" w:hanging="259"/>
        <w:jc w:val="both"/>
      </w:pPr>
      <w:r>
        <w:rPr>
          <w:rFonts w:ascii="Times New Roman" w:hAnsi="Times New Roman"/>
          <w:b w:val="0"/>
          <w:i w:val="0"/>
          <w:sz w:val="20"/>
        </w:rPr>
        <w:t xml:space="preserve">4. </w:t>
      </w:r>
      <w:r>
        <w:rPr>
          <w:rFonts w:ascii="Times New Roman" w:hAnsi="Times New Roman"/>
          <w:b w:val="0"/>
          <w:i w:val="0"/>
          <w:sz w:val="20"/>
        </w:rPr>
        <w:t>The backward-looking stress test uses zero-phase filtering inside bounded contexts and is not a production streaming estimator.</w:t>
      </w:r>
    </w:p>
    <w:p>
      <w:pPr>
        <w:pStyle w:val="BodyText"/>
        <w:spacing w:before="0" w:after="0" w:line="240" w:lineRule="auto"/>
        <w:ind w:left="259" w:hanging="259"/>
        <w:jc w:val="both"/>
      </w:pPr>
      <w:r>
        <w:rPr>
          <w:rFonts w:ascii="Times New Roman" w:hAnsi="Times New Roman"/>
          <w:b w:val="0"/>
          <w:i w:val="0"/>
          <w:sz w:val="20"/>
        </w:rPr>
        <w:t xml:space="preserve">5. </w:t>
      </w:r>
      <w:r>
        <w:rPr>
          <w:rFonts w:ascii="Times New Roman" w:hAnsi="Times New Roman"/>
          <w:b w:val="0"/>
          <w:i w:val="0"/>
          <w:sz w:val="20"/>
        </w:rPr>
        <w:t>PAC estimates may be sensitive to filtering, artifact handling, and finite-sample bias.</w:t>
      </w:r>
    </w:p>
    <w:p>
      <w:pPr>
        <w:pStyle w:val="BodyText"/>
        <w:spacing w:before="0" w:after="0" w:line="240" w:lineRule="auto"/>
        <w:ind w:left="259" w:hanging="259"/>
        <w:jc w:val="both"/>
      </w:pPr>
      <w:r>
        <w:rPr>
          <w:rFonts w:ascii="Times New Roman" w:hAnsi="Times New Roman"/>
          <w:b w:val="0"/>
          <w:i w:val="0"/>
          <w:sz w:val="20"/>
        </w:rPr>
        <w:t xml:space="preserve">6. </w:t>
      </w:r>
      <w:r>
        <w:rPr>
          <w:rFonts w:ascii="Times New Roman" w:hAnsi="Times New Roman"/>
          <w:b w:val="0"/>
          <w:i w:val="0"/>
          <w:sz w:val="20"/>
        </w:rPr>
        <w:t xml:space="preserve">The </w:t>
      </w:r>
      <w:r>
        <w:rPr>
          <w:rFonts w:ascii="Times New Roman" w:hAnsi="Times New Roman"/>
          <w:b w:val="0"/>
          <w:i w:val="0"/>
          <w:sz w:val="20"/>
        </w:rPr>
        <w:t>38-42 Hz</w:t>
      </w:r>
      <w:r>
        <w:rPr>
          <w:rFonts w:ascii="Times New Roman" w:hAnsi="Times New Roman"/>
          <w:b w:val="0"/>
          <w:i w:val="0"/>
          <w:sz w:val="20"/>
        </w:rPr>
        <w:t xml:space="preserve"> amplitude band overlaps the auditory stimulation frequency, so PAC estimates may reflect stimulation-locked steady-state response or residual artifact rather than endogenous gamma coupling.</w:t>
      </w:r>
    </w:p>
    <w:p>
      <w:pPr>
        <w:pStyle w:val="BodyText"/>
        <w:spacing w:before="0" w:after="0" w:line="240" w:lineRule="auto"/>
        <w:ind w:left="259" w:hanging="259"/>
        <w:jc w:val="both"/>
      </w:pPr>
      <w:r>
        <w:rPr>
          <w:rFonts w:ascii="Times New Roman" w:hAnsi="Times New Roman"/>
          <w:b w:val="0"/>
          <w:i w:val="0"/>
          <w:sz w:val="20"/>
        </w:rPr>
        <w:t xml:space="preserve">7. </w:t>
      </w:r>
      <w:r>
        <w:rPr>
          <w:rFonts w:ascii="Times New Roman" w:hAnsi="Times New Roman"/>
          <w:b w:val="0"/>
          <w:i w:val="0"/>
          <w:sz w:val="20"/>
        </w:rPr>
        <w:t>The dataset is single-site and modest in size; the current results use one fixed participant split.</w:t>
      </w:r>
    </w:p>
    <w:p>
      <w:pPr>
        <w:pStyle w:val="BodyText"/>
        <w:spacing w:before="0" w:after="10" w:line="240" w:lineRule="auto"/>
        <w:ind w:firstLine="288"/>
        <w:jc w:val="both"/>
      </w:pPr>
      <w:r>
        <w:rPr>
          <w:rFonts w:ascii="Times New Roman" w:hAnsi="Times New Roman"/>
          <w:b w:val="0"/>
          <w:i w:val="0"/>
          <w:sz w:val="20"/>
        </w:rPr>
        <w:t>Because of these limitations, this study should not make clinical or therapeutic efficacy claims. The next experiments should evaluate additional backward-looking PAC context lengths, implement a streaming-compatible PAC estimator, measure repeated participant-split performance, calibrate controller objectives using held-out participants, and then test a prospective streaming implementation.</w:t>
      </w:r>
    </w:p>
    <w:p>
      <w:pPr>
        <w:pStyle w:val="Heading1"/>
        <w:spacing w:before="100" w:after="20" w:line="240" w:lineRule="auto"/>
        <w:jc w:val="center"/>
        <w:keepNext/>
      </w:pPr>
      <w:r>
        <w:rPr>
          <w:rFonts w:ascii="Times New Roman" w:hAnsi="Times New Roman"/>
          <w:b w:val="0"/>
          <w:i w:val="0"/>
          <w:sz w:val="20"/>
        </w:rPr>
        <w:t>Conclusion</w:t>
      </w:r>
    </w:p>
    <w:p>
      <w:pPr>
        <w:pStyle w:val="BodyText"/>
        <w:spacing w:before="0" w:after="10" w:line="240" w:lineRule="auto"/>
        <w:ind w:firstLine="288"/>
        <w:jc w:val="both"/>
      </w:pPr>
      <w:r>
        <w:rPr>
          <w:rFonts w:ascii="Times New Roman" w:hAnsi="Times New Roman"/>
          <w:b w:val="0"/>
          <w:i w:val="0"/>
          <w:sz w:val="20"/>
        </w:rPr>
        <w:t xml:space="preserve">In an event-summary benchmark, a 12-feature TCN predicted stored PAC-series entries on held-out participants more accurately than a larger 73-feature candidate representation. Across five training seeds on the same fixed split, mean forecasting performance reached </w:t>
      </w:r>
      <w:r>
        <w:rPr>
          <w:rFonts w:ascii="Times New Roman" w:hAnsi="Times New Roman"/>
          <w:b w:val="0"/>
          <w:i w:val="0"/>
          <w:sz w:val="20"/>
        </w:rPr>
        <w:t>R-squared = 0.606</w:t>
      </w:r>
      <w:r>
        <w:rPr>
          <w:rFonts w:ascii="Times New Roman" w:hAnsi="Times New Roman"/>
          <w:b w:val="0"/>
          <w:i w:val="0"/>
          <w:sz w:val="20"/>
        </w:rPr>
        <w:t>; this estimates initialization variability, not sensitivity to which participants are held out. A backward-looking PAC stress test then removed the repeated-target shortcut: the TCN retained positive held-out R-squared but did not exceed Ridge regression. Offline replay showed stronger low-PAC coverage without improved balanced alignment. The results support compact temporal features as a retrospective benchmark, but they also show that the PAC target definition controls the conclusion. A streaming PAC estimator, artifact sensitivity analysis, repeated participant-split validation, and a separately validated controller are required before live adaptive-stimulation testing.</w:t>
      </w:r>
    </w:p>
    <w:p>
      <w:pPr>
        <w:pStyle w:val="Heading5"/>
        <w:spacing w:before="100" w:after="20" w:line="240" w:lineRule="auto"/>
        <w:jc w:val="center"/>
        <w:keepNext/>
      </w:pPr>
      <w:r>
        <w:rPr>
          <w:rFonts w:ascii="Times New Roman" w:hAnsi="Times New Roman"/>
          <w:b w:val="0"/>
          <w:i w:val="0"/>
          <w:sz w:val="20"/>
        </w:rPr>
        <w:t>References</w:t>
      </w:r>
    </w:p>
    <w:p>
      <w:pPr>
        <w:pStyle w:val="references"/>
        <w:spacing w:before="0" w:after="20" w:line="240" w:lineRule="auto"/>
        <w:ind w:left="259" w:hanging="259"/>
        <w:jc w:val="both"/>
      </w:pPr>
      <w:r>
        <w:rPr>
          <w:rFonts w:ascii="Times New Roman" w:hAnsi="Times New Roman"/>
          <w:b w:val="0"/>
          <w:i w:val="0"/>
          <w:sz w:val="20"/>
        </w:rPr>
        <w:t xml:space="preserve">H. F. Iaccarino, A. C. Singer, A. J. Martorell, et al., "Gamma frequency entrainment attenuates amyloid load and modifies microglia," </w:t>
      </w:r>
      <w:r>
        <w:rPr>
          <w:rFonts w:ascii="Times New Roman" w:hAnsi="Times New Roman"/>
          <w:b w:val="0"/>
          <w:i/>
          <w:sz w:val="20"/>
        </w:rPr>
        <w:t>Nature</w:t>
      </w:r>
      <w:r>
        <w:rPr>
          <w:rFonts w:ascii="Times New Roman" w:hAnsi="Times New Roman"/>
          <w:b w:val="0"/>
          <w:i w:val="0"/>
          <w:sz w:val="20"/>
        </w:rPr>
        <w:t>, vol. 540, pp. 230-235, 2016. doi:10.1038/nature20587.</w:t>
      </w:r>
    </w:p>
    <w:p>
      <w:pPr>
        <w:pStyle w:val="references"/>
        <w:spacing w:before="0" w:after="20" w:line="240" w:lineRule="auto"/>
        <w:ind w:left="259" w:hanging="259"/>
        <w:jc w:val="both"/>
      </w:pPr>
      <w:r>
        <w:rPr>
          <w:rFonts w:ascii="Times New Roman" w:hAnsi="Times New Roman"/>
          <w:b w:val="0"/>
          <w:i w:val="0"/>
          <w:sz w:val="20"/>
        </w:rPr>
        <w:t xml:space="preserve">M. Lahijanian, H. Aghajan, and Z. Vahabi, "Auditory gamma-band entrainment enhances default mode network connectivity in dementia patients," </w:t>
      </w:r>
      <w:r>
        <w:rPr>
          <w:rFonts w:ascii="Times New Roman" w:hAnsi="Times New Roman"/>
          <w:b w:val="0"/>
          <w:i/>
          <w:sz w:val="20"/>
        </w:rPr>
        <w:t>Scientific Reports</w:t>
      </w:r>
      <w:r>
        <w:rPr>
          <w:rFonts w:ascii="Times New Roman" w:hAnsi="Times New Roman"/>
          <w:b w:val="0"/>
          <w:i w:val="0"/>
          <w:sz w:val="20"/>
        </w:rPr>
        <w:t>, vol. 14, art. 13153, 2024. doi:10.1038/s41598-024-63727-z.</w:t>
      </w:r>
    </w:p>
    <w:p>
      <w:pPr>
        <w:pStyle w:val="references"/>
        <w:spacing w:before="0" w:after="20" w:line="240" w:lineRule="auto"/>
        <w:ind w:left="259" w:hanging="259"/>
        <w:jc w:val="both"/>
      </w:pPr>
      <w:r>
        <w:rPr>
          <w:rFonts w:ascii="Times New Roman" w:hAnsi="Times New Roman"/>
          <w:b w:val="0"/>
          <w:i w:val="0"/>
          <w:sz w:val="20"/>
        </w:rPr>
        <w:t xml:space="preserve">M. Lahijanian, H. Aghajan, and Z. Vahabi, "40Hz Auditory Entrainment," OpenNeuro dataset </w:t>
      </w:r>
      <w:r>
        <w:rPr>
          <w:rFonts w:ascii="Times New Roman" w:hAnsi="Times New Roman"/>
          <w:b w:val="0"/>
          <w:i w:val="0"/>
          <w:sz w:val="20"/>
        </w:rPr>
        <w:t>ds005048</w:t>
      </w:r>
      <w:r>
        <w:rPr>
          <w:rFonts w:ascii="Times New Roman" w:hAnsi="Times New Roman"/>
          <w:b w:val="0"/>
          <w:i w:val="0"/>
          <w:sz w:val="20"/>
        </w:rPr>
        <w:t xml:space="preserve">, ver. </w:t>
      </w:r>
      <w:r>
        <w:rPr>
          <w:rFonts w:ascii="Times New Roman" w:hAnsi="Times New Roman"/>
          <w:b w:val="0"/>
          <w:i w:val="0"/>
          <w:sz w:val="20"/>
        </w:rPr>
        <w:t>1.0.1</w:t>
      </w:r>
      <w:r>
        <w:rPr>
          <w:rFonts w:ascii="Times New Roman" w:hAnsi="Times New Roman"/>
          <w:b w:val="0"/>
          <w:i w:val="0"/>
          <w:sz w:val="20"/>
        </w:rPr>
        <w:t>. doi:10.18112/openneuro.ds005048.v1.0.1.</w:t>
      </w:r>
    </w:p>
    <w:p>
      <w:pPr>
        <w:pStyle w:val="references"/>
        <w:spacing w:before="0" w:after="20" w:line="240" w:lineRule="auto"/>
        <w:ind w:left="259" w:hanging="259"/>
        <w:jc w:val="both"/>
      </w:pPr>
      <w:r>
        <w:rPr>
          <w:rFonts w:ascii="Times New Roman" w:hAnsi="Times New Roman"/>
          <w:b w:val="0"/>
          <w:i w:val="0"/>
          <w:sz w:val="20"/>
        </w:rPr>
        <w:t xml:space="preserve">G. Soleimani, M. A. Nitsche, T. O. Bergmann, et al., "Closing the loop between brain and electrical stimulation: towards precision neuromodulation treatments," </w:t>
      </w:r>
      <w:r>
        <w:rPr>
          <w:rFonts w:ascii="Times New Roman" w:hAnsi="Times New Roman"/>
          <w:b w:val="0"/>
          <w:i/>
          <w:sz w:val="20"/>
        </w:rPr>
        <w:t>Translational Psychiatry</w:t>
      </w:r>
      <w:r>
        <w:rPr>
          <w:rFonts w:ascii="Times New Roman" w:hAnsi="Times New Roman"/>
          <w:b w:val="0"/>
          <w:i w:val="0"/>
          <w:sz w:val="20"/>
        </w:rPr>
        <w:t>, vol. 13, art. 279, 2023. doi:10.1038/s41398-023-02565-5.</w:t>
      </w:r>
    </w:p>
    <w:p>
      <w:pPr>
        <w:pStyle w:val="references"/>
        <w:spacing w:before="0" w:after="20" w:line="240" w:lineRule="auto"/>
        <w:ind w:left="259" w:hanging="259"/>
        <w:jc w:val="both"/>
      </w:pPr>
      <w:r>
        <w:rPr>
          <w:rFonts w:ascii="Times New Roman" w:hAnsi="Times New Roman"/>
          <w:b w:val="0"/>
          <w:i w:val="0"/>
          <w:sz w:val="20"/>
        </w:rPr>
        <w:t xml:space="preserve">A. B. L. Tort, R. Komorowski, H. Eichenbaum, and N. Kopell, "Measuring phase-amplitude coupling between neuronal oscillations of different frequencies," </w:t>
      </w:r>
      <w:r>
        <w:rPr>
          <w:rFonts w:ascii="Times New Roman" w:hAnsi="Times New Roman"/>
          <w:b w:val="0"/>
          <w:i/>
          <w:sz w:val="20"/>
        </w:rPr>
        <w:t>Journal of Neurophysiology</w:t>
      </w:r>
      <w:r>
        <w:rPr>
          <w:rFonts w:ascii="Times New Roman" w:hAnsi="Times New Roman"/>
          <w:b w:val="0"/>
          <w:i w:val="0"/>
          <w:sz w:val="20"/>
        </w:rPr>
        <w:t>, vol. 104, no. 2, pp. 1195-1210, 2010. doi:10.1152/jn.00106.2010.</w:t>
      </w:r>
    </w:p>
    <w:p>
      <w:pPr>
        <w:pStyle w:val="references"/>
        <w:spacing w:before="0" w:after="20" w:line="240" w:lineRule="auto"/>
        <w:ind w:left="259" w:hanging="259"/>
        <w:jc w:val="both"/>
      </w:pPr>
      <w:r>
        <w:rPr>
          <w:rFonts w:ascii="Times New Roman" w:hAnsi="Times New Roman"/>
          <w:b w:val="0"/>
          <w:i w:val="0"/>
          <w:sz w:val="20"/>
        </w:rPr>
        <w:t xml:space="preserve">J. F. Hipp and M. Siegel, "Dissociating neuronal gamma-band activity from cranial and ocular muscle activity in EEG," </w:t>
      </w:r>
      <w:r>
        <w:rPr>
          <w:rFonts w:ascii="Times New Roman" w:hAnsi="Times New Roman"/>
          <w:b w:val="0"/>
          <w:i/>
          <w:sz w:val="20"/>
        </w:rPr>
        <w:t>Frontiers in Human Neuroscience</w:t>
      </w:r>
      <w:r>
        <w:rPr>
          <w:rFonts w:ascii="Times New Roman" w:hAnsi="Times New Roman"/>
          <w:b w:val="0"/>
          <w:i w:val="0"/>
          <w:sz w:val="20"/>
        </w:rPr>
        <w:t>, vol. 7, art. 338, 2013. doi:10.3389/fnhum.2013.00338.</w:t>
      </w:r>
    </w:p>
    <w:p>
      <w:pPr>
        <w:pStyle w:val="references"/>
        <w:spacing w:before="0" w:after="20" w:line="240" w:lineRule="auto"/>
        <w:ind w:left="259" w:hanging="259"/>
        <w:jc w:val="both"/>
      </w:pPr>
      <w:r>
        <w:rPr>
          <w:rFonts w:ascii="Times New Roman" w:hAnsi="Times New Roman"/>
          <w:b w:val="0"/>
          <w:i w:val="0"/>
          <w:sz w:val="20"/>
        </w:rPr>
        <w:t xml:space="preserve">J. Aru, J. Aru, V. Priesemann, et al., "Untangling cross-frequency coupling in neuroscience," </w:t>
      </w:r>
      <w:r>
        <w:rPr>
          <w:rFonts w:ascii="Times New Roman" w:hAnsi="Times New Roman"/>
          <w:b w:val="0"/>
          <w:i/>
          <w:sz w:val="20"/>
        </w:rPr>
        <w:t>Current Opinion in Neurobiology</w:t>
      </w:r>
      <w:r>
        <w:rPr>
          <w:rFonts w:ascii="Times New Roman" w:hAnsi="Times New Roman"/>
          <w:b w:val="0"/>
          <w:i w:val="0"/>
          <w:sz w:val="20"/>
        </w:rPr>
        <w:t>, vol. 31, pp. 51-61, 2015. doi:10.1016/j.conb.2014.08.002.</w:t>
      </w:r>
    </w:p>
    <w:p>
      <w:pPr>
        <w:pStyle w:val="references"/>
        <w:spacing w:before="0" w:after="20" w:line="240" w:lineRule="auto"/>
        <w:ind w:left="259" w:hanging="259"/>
        <w:jc w:val="both"/>
      </w:pPr>
      <w:r>
        <w:rPr>
          <w:rFonts w:ascii="Times New Roman" w:hAnsi="Times New Roman"/>
          <w:b w:val="0"/>
          <w:i w:val="0"/>
          <w:sz w:val="20"/>
        </w:rPr>
        <w:t>S. Bai, J. Z. Kolter, and V. Koltun, "An empirical evaluation of generic convolutional and recurrent networks for sequence modeling," arXiv:1803.01271, 2018.</w:t>
      </w:r>
    </w:p>
    <w:sectPr w:rsidR="009303D9" w:rsidRPr="00F96569">
      <w:type w:val="continuous"/>
      <w:pgSz w:w="12240" w:h="15840" w:code="1"/>
      <w:pgMar w:top="1080" w:right="907" w:bottom="1440" w:left="907" w:header="720" w:footer="720" w:gutter="0"/>
      <w:cols w:space="36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6C0A" w:rsidRDefault="00456C0A" w:rsidP="001A3B3D">
      <w:r>
        <w:separator/>
      </w:r>
    </w:p>
  </w:endnote>
  <w:endnote w:type="continuationSeparator" w:id="0">
    <w:p w:rsidR="00456C0A" w:rsidRDefault="00456C0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6C0A" w:rsidRDefault="00456C0A" w:rsidP="001A3B3D">
      <w:r>
        <w:separator/>
      </w:r>
    </w:p>
  </w:footnote>
  <w:footnote w:type="continuationSeparator" w:id="0">
    <w:p w:rsidR="00456C0A" w:rsidRDefault="00456C0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701710696">
    <w:abstractNumId w:val="14"/>
  </w:num>
  <w:num w:numId="2" w16cid:durableId="1970430930">
    <w:abstractNumId w:val="19"/>
  </w:num>
  <w:num w:numId="3" w16cid:durableId="1678846246">
    <w:abstractNumId w:val="13"/>
  </w:num>
  <w:num w:numId="4" w16cid:durableId="864564298">
    <w:abstractNumId w:val="16"/>
  </w:num>
  <w:num w:numId="5" w16cid:durableId="672879769">
    <w:abstractNumId w:val="16"/>
  </w:num>
  <w:num w:numId="6" w16cid:durableId="948858563">
    <w:abstractNumId w:val="16"/>
  </w:num>
  <w:num w:numId="7" w16cid:durableId="1660109385">
    <w:abstractNumId w:val="16"/>
  </w:num>
  <w:num w:numId="8" w16cid:durableId="25260703">
    <w:abstractNumId w:val="18"/>
  </w:num>
  <w:num w:numId="9" w16cid:durableId="990018740">
    <w:abstractNumId w:val="20"/>
  </w:num>
  <w:num w:numId="10" w16cid:durableId="552929832">
    <w:abstractNumId w:val="15"/>
  </w:num>
  <w:num w:numId="11" w16cid:durableId="349184567">
    <w:abstractNumId w:val="12"/>
  </w:num>
  <w:num w:numId="12" w16cid:durableId="920918201">
    <w:abstractNumId w:val="11"/>
  </w:num>
  <w:num w:numId="13" w16cid:durableId="1476604099">
    <w:abstractNumId w:val="0"/>
  </w:num>
  <w:num w:numId="14" w16cid:durableId="1167552493">
    <w:abstractNumId w:val="10"/>
  </w:num>
  <w:num w:numId="15" w16cid:durableId="2118867284">
    <w:abstractNumId w:val="8"/>
  </w:num>
  <w:num w:numId="16" w16cid:durableId="213271761">
    <w:abstractNumId w:val="7"/>
  </w:num>
  <w:num w:numId="17" w16cid:durableId="1156845487">
    <w:abstractNumId w:val="6"/>
  </w:num>
  <w:num w:numId="18" w16cid:durableId="959452909">
    <w:abstractNumId w:val="5"/>
  </w:num>
  <w:num w:numId="19" w16cid:durableId="425149216">
    <w:abstractNumId w:val="9"/>
  </w:num>
  <w:num w:numId="20" w16cid:durableId="27679330">
    <w:abstractNumId w:val="4"/>
  </w:num>
  <w:num w:numId="21" w16cid:durableId="1772435934">
    <w:abstractNumId w:val="3"/>
  </w:num>
  <w:num w:numId="22" w16cid:durableId="547642722">
    <w:abstractNumId w:val="2"/>
  </w:num>
  <w:num w:numId="23" w16cid:durableId="68113603">
    <w:abstractNumId w:val="1"/>
  </w:num>
  <w:num w:numId="24" w16cid:durableId="12115715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56C0A"/>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51CDC"/>
    <w:rsid w:val="00E61E12"/>
    <w:rsid w:val="00E7596C"/>
    <w:rsid w:val="00E878F2"/>
    <w:rsid w:val="00ED0149"/>
    <w:rsid w:val="00EF7DE3"/>
    <w:rsid w:val="00F03103"/>
    <w:rsid w:val="00F271DE"/>
    <w:rsid w:val="00F627DA"/>
    <w:rsid w:val="00F7288F"/>
    <w:rsid w:val="00F847A6"/>
    <w:rsid w:val="00F9441B"/>
    <w:rsid w:val="00F96569"/>
    <w:rsid w:val="00FA4C32"/>
    <w:rsid w:val="00FE178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sz w:val="20"/>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rFonts w:ascii="Times New Roman" w:hAnsi="Times New Roman"/>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rFonts w:ascii="Times New Roman" w:hAnsi="Times New Roman"/>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rFonts w:ascii="Times New Roman" w:hAnsi="Times New Roman"/>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rFonts w:ascii="Times New Roman" w:hAnsi="Times New Roman"/>
      <w:b/>
      <w:bCs/>
      <w:sz w:val="20"/>
      <w:szCs w:val="18"/>
    </w:rPr>
  </w:style>
  <w:style w:type="paragraph" w:customStyle="1" w:styleId="Affiliation">
    <w:name w:val="Affiliation"/>
    <w:pPr>
      <w:jc w:val="center"/>
    </w:pPr>
    <w:rPr>
      <w:rFonts w:ascii="Times New Roman" w:hAnsi="Times New Roman"/>
      <w:sz w:val="20"/>
    </w:rPr>
  </w:style>
  <w:style w:type="paragraph" w:customStyle="1" w:styleId="Author">
    <w:name w:val="Author"/>
    <w:pPr>
      <w:spacing w:before="360" w:after="40"/>
      <w:jc w:val="center"/>
    </w:pPr>
    <w:rPr>
      <w:rFonts w:ascii="Times New Roman" w:hAnsi="Times New Roman"/>
      <w:noProof/>
      <w:sz w:val="22"/>
      <w:szCs w:val="22"/>
    </w:rPr>
  </w:style>
  <w:style w:type="paragraph" w:styleId="BodyText">
    <w:name w:val="Body Text"/>
    <w:basedOn w:val="Normal"/>
    <w:link w:val="BodyTextChar"/>
    <w:rsid w:val="00E7596C"/>
    <w:pPr>
      <w:tabs>
        <w:tab w:val="left" w:pos="288"/>
      </w:tabs>
      <w:spacing w:after="10" w:line="240" w:lineRule="auto"/>
      <w:ind w:firstLine="288"/>
      <w:jc w:val="both"/>
    </w:pPr>
    <w:rPr>
      <w:rFonts w:ascii="Times New Roman" w:hAnsi="Times New Roman"/>
      <w:spacing w:val="-1"/>
      <w:sz w:val="20"/>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rFonts w:ascii="Times New Roman" w:hAnsi="Times New Roman"/>
      <w:noProof/>
      <w:sz w:val="20"/>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ascii="Times New Roman" w:hAnsi="Times New Roman"/>
      <w:noProof/>
      <w:sz w:val="48"/>
      <w:szCs w:val="48"/>
    </w:rPr>
  </w:style>
  <w:style w:type="paragraph" w:customStyle="1" w:styleId="references">
    <w:name w:val="references"/>
    <w:pPr>
      <w:numPr>
        <w:numId w:val="8"/>
      </w:numPr>
      <w:spacing w:after="20" w:line="240" w:lineRule="auto"/>
      <w:ind w:left="259" w:hanging="259"/>
      <w:jc w:val="both"/>
    </w:pPr>
    <w:rPr>
      <w:rFonts w:eastAsia="MS Mincho" w:ascii="Times New Roman" w:hAnsi="Times New Roman"/>
      <w:noProof/>
      <w:sz w:val="20"/>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rFonts w:ascii="Times New Roman" w:hAnsi="Times New Roman"/>
      <w:i/>
      <w:sz w:val="20"/>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PAC Forecast Targets During 40 Hz Auditory Stimulation</dc:title>
  <dc:subject>MIT URTC technical paper manuscript</dc:subject>
  <dc:creator>Amaar M. Chughtai</dc:creator>
  <cp:keywords>auditory stimulation, phase-amplitude coupling, EEG, temporal convolutional network, target-definition audit, retrospective replay</cp:keywords>
  <cp:lastModifiedBy>Amaar Chughtai</cp:lastModifiedBy>
  <cp:revision>2</cp:revision>
  <dcterms:created xsi:type="dcterms:W3CDTF">2026-06-23T23:47:00Z</dcterms:created>
  <dcterms:modified xsi:type="dcterms:W3CDTF">2026-06-23T23:47:00Z</dcterms:modified>
  <dc:description>Generated from audited repository evidence.</dc:description>
</cp:coreProperties>
</file>