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line="240" w:lineRule="auto"/>
        <w:jc w:val="center"/>
      </w:pPr>
      <w:r>
        <w:rPr>
          <w:rFonts w:ascii="Times New Roman" w:hAnsi="Times New Roman"/>
          <w:b/>
          <w:i w:val="0"/>
          <w:sz w:val="36"/>
        </w:rPr>
        <w:t>Stress-Testing Cross-Participant PAC Forecasting for Adaptive 40 Hz Auditory Entrainment</w:t>
      </w:r>
    </w:p>
    <w:p>
      <w:pPr>
        <w:spacing w:before="0" w:after="0" w:line="240" w:lineRule="auto"/>
        <w:jc w:val="center"/>
      </w:pPr>
      <w:r>
        <w:rPr>
          <w:rFonts w:ascii="Times New Roman" w:hAnsi="Times New Roman"/>
          <w:b/>
          <w:i w:val="0"/>
          <w:sz w:val="20"/>
        </w:rPr>
        <w:t>Amaar M. Chughtai</w:t>
      </w:r>
    </w:p>
    <w:p>
      <w:pPr>
        <w:spacing w:before="0" w:after="0" w:line="240" w:lineRule="auto"/>
        <w:jc w:val="center"/>
      </w:pPr>
      <w:r>
        <w:rPr>
          <w:rFonts w:ascii="Times New Roman" w:hAnsi="Times New Roman"/>
          <w:b w:val="0"/>
          <w:i w:val="0"/>
          <w:sz w:val="20"/>
        </w:rPr>
        <w:t>Valley Christian High School, San Jose, California, United States</w:t>
      </w:r>
    </w:p>
    <w:p>
      <w:pPr>
        <w:spacing w:before="0" w:after="0" w:line="240" w:lineRule="auto"/>
        <w:jc w:val="center"/>
      </w:pPr>
      <w:r>
        <w:rPr>
          <w:rFonts w:ascii="Times New Roman" w:hAnsi="Times New Roman"/>
          <w:b w:val="0"/>
          <w:i w:val="0"/>
          <w:sz w:val="20"/>
        </w:rPr>
        <w:t>amaardevx@gmail.com</w:t>
      </w:r>
    </w:p>
    <w:p>
      <w:pPr>
        <w:spacing w:before="0" w:after="60" w:line="240" w:lineRule="auto"/>
        <w:jc w:val="both"/>
      </w:pPr>
      <w:r>
        <w:rPr>
          <w:rFonts w:ascii="Times New Roman" w:hAnsi="Times New Roman"/>
          <w:b/>
          <w:i/>
          <w:sz w:val="20"/>
        </w:rPr>
        <w:t xml:space="preserve">Abstract: </w:t>
      </w:r>
      <w:r>
        <w:rPr>
          <w:rFonts w:ascii="Times New Roman" w:hAnsi="Times New Roman"/>
          <w:b w:val="0"/>
          <w:i w:val="0"/>
          <w:sz w:val="20"/>
        </w:rPr>
        <w:t xml:space="preserve">Fixed schedules for 40 Hz auditory stimulation cannot adapt to short-term changes in measured neural response. This retrospective computational study asks whether theta-gamma phase-amplitude coupling, or PAC, histories and recorded protocol context support cross-participant forecasting, and how the conclusion changes when PAC labels are made closer to online availability. Recordings from 35 participants in OpenNeuro </w:t>
      </w:r>
      <w:r>
        <w:rPr>
          <w:rFonts w:ascii="Times New Roman" w:hAnsi="Times New Roman"/>
          <w:b w:val="0"/>
          <w:i w:val="0"/>
          <w:sz w:val="20"/>
        </w:rPr>
        <w:t>ds005048</w:t>
      </w:r>
      <w:r>
        <w:rPr>
          <w:rFonts w:ascii="Times New Roman" w:hAnsi="Times New Roman"/>
          <w:b w:val="0"/>
          <w:i w:val="0"/>
          <w:sz w:val="20"/>
        </w:rPr>
        <w:t xml:space="preserve"> were processed using seven frontal channels and split by participant into 24 training, 5 validation, and 6 held-out test participants. In an initial event-summary benchmark, a compact 12-feature TCN improved held-out test R-squared from minus 0.025 for a 73-feature candidate set to 0.558. Across five seeds, mean R-squared was 0.606 versus 0.104 for persistence. However, complete-event PAC summaries assigned back to constituent windows include samples acquired later in the same period. A stress test therefore recomputed PAC from five-second backward-looking contexts. Unique held-out targets increased from 104 to 2,678 and adjacent target repetition fell from 96.2 percent to zero. TCN R-squared decreased from 0.554 to 0.212 and did not exceed Ridge regression at 0.216. Separately, offline controller replay exposed a targeting-specificity tradeoff rather than a balanced improvement. The findings identify target definition and compact feature design as central constraints for a prospective adaptive system.</w:t>
      </w:r>
    </w:p>
    <w:p>
      <w:pPr>
        <w:spacing w:before="0" w:after="60" w:line="240" w:lineRule="auto"/>
        <w:jc w:val="both"/>
      </w:pPr>
      <w:r>
        <w:rPr>
          <w:rFonts w:ascii="Times New Roman" w:hAnsi="Times New Roman"/>
          <w:b/>
          <w:i/>
          <w:sz w:val="20"/>
        </w:rPr>
        <w:t xml:space="preserve">Keywords: </w:t>
      </w:r>
      <w:r>
        <w:rPr>
          <w:rFonts w:ascii="Times New Roman" w:hAnsi="Times New Roman"/>
          <w:b w:val="0"/>
          <w:i w:val="0"/>
          <w:sz w:val="20"/>
        </w:rPr>
        <w:t>auditory entrainment, phase-amplitude coupling, EEG, temporal convolutional network, adaptive stimulation, retrospective replay</w:t>
      </w:r>
    </w:p>
    <w:p>
      <w:pPr>
        <w:sectPr>
          <w:pgSz w:w="12240" w:h="15840"/>
          <w:pgMar w:top="1080" w:right="893" w:bottom="1440" w:left="893" w:header="432" w:footer="720" w:gutter="0"/>
          <w:cols w:space="360" w:num="1"/>
          <w:docGrid w:linePitch="360"/>
        </w:sectPr>
      </w:pPr>
    </w:p>
    <w:p>
      <w:pPr>
        <w:spacing w:before="100" w:after="20" w:line="240" w:lineRule="auto"/>
        <w:jc w:val="center"/>
        <w:keepNext/>
      </w:pPr>
      <w:r>
        <w:rPr>
          <w:rFonts w:ascii="Times New Roman" w:hAnsi="Times New Roman"/>
          <w:b w:val="0"/>
          <w:i w:val="0"/>
          <w:sz w:val="20"/>
        </w:rPr>
        <w:t>I. INTRODUCTION</w:t>
      </w:r>
    </w:p>
    <w:p>
      <w:pPr>
        <w:spacing w:before="0" w:after="0" w:line="240" w:lineRule="auto"/>
        <w:jc w:val="both"/>
      </w:pPr>
      <w:r>
        <w:rPr>
          <w:rFonts w:ascii="Times New Roman" w:hAnsi="Times New Roman"/>
          <w:b w:val="0"/>
          <w:i w:val="0"/>
          <w:sz w:val="20"/>
        </w:rPr>
        <w:t>Gamma-frequency neural activity has become an active research area in neurodegeneration. In 5XFAD mice, experimentally induced 40 Hz activity reduced amyloid burden and altered microglial response [1]. Human electroencephalography (EEG) studies have also investigated non-invasive auditory gamma-frequency entrainment. In a memory-clinic cohort, Lahijanian et al. found increased 40 Hz EEG power and frontoparietal synchrony during auditory entrainment [2]. These findings motivate tools for characterizing neural response, but they do not establish that an adaptive auditory controller improves clinical outcomes.</w:t>
      </w:r>
    </w:p>
    <w:p>
      <w:pPr>
        <w:spacing w:before="0" w:after="0" w:line="240" w:lineRule="auto"/>
        <w:jc w:val="both"/>
      </w:pPr>
      <w:r>
        <w:rPr>
          <w:rFonts w:ascii="Times New Roman" w:hAnsi="Times New Roman"/>
          <w:b w:val="0"/>
          <w:i w:val="0"/>
          <w:sz w:val="20"/>
        </w:rPr>
        <w:t>Many stimulation protocols use fixed timing. A fixed schedule is simple, reproducible, and easy to evaluate, but it cannot respond to within-session changes in measured brain state. Closed-loop neuromodulation research instead seeks to adjust stimulation from measured biomarkers [4]. A predictive controller could act before a coupling decline rather than after a threshold has already been crossed. That objective requires a forecast that generalizes across participants, an online biomarker estimator, and a controller whose decision rule balances stimulation during low-coupling periods against rest during high-coupling periods.</w:t>
      </w:r>
    </w:p>
    <w:p>
      <w:pPr>
        <w:spacing w:before="0" w:after="0" w:line="240" w:lineRule="auto"/>
        <w:jc w:val="both"/>
      </w:pPr>
      <w:r>
        <w:rPr>
          <w:rFonts w:ascii="Times New Roman" w:hAnsi="Times New Roman"/>
          <w:b w:val="0"/>
          <w:i w:val="0"/>
          <w:sz w:val="20"/>
        </w:rPr>
        <w:t>The broader engineering design separates current-biomarker estimation from future-state forecasting. This paper isolates the temporal forecasting stage with stored PAC labels, then stress-tests whether its conclusions survive a target definition that is closer to online availability. A broader prototype includes a compact raw-EEG estimator, but that estimator is not composed with the forecasting or replay validation loop reported here.</w:t>
      </w:r>
    </w:p>
    <w:p>
      <w:pPr>
        <w:spacing w:before="0" w:after="0" w:line="240" w:lineRule="auto"/>
        <w:jc w:val="both"/>
      </w:pPr>
      <w:r>
        <w:rPr>
          <w:rFonts w:ascii="Times New Roman" w:hAnsi="Times New Roman"/>
          <w:b w:val="0"/>
          <w:i w:val="0"/>
          <w:sz w:val="20"/>
        </w:rPr>
        <w:t>This study focuses on three questions:</w:t>
      </w:r>
    </w:p>
    <w:p>
      <w:pPr>
        <w:pStyle w:val="ListNumber"/>
        <w:spacing w:before="0" w:after="0" w:line="240" w:lineRule="auto"/>
        <w:ind w:left="259" w:hanging="173"/>
        <w:jc w:val="both"/>
      </w:pPr>
      <w:r>
        <w:rPr>
          <w:rFonts w:ascii="Times New Roman" w:hAnsi="Times New Roman"/>
          <w:b w:val="0"/>
          <w:i w:val="0"/>
          <w:sz w:val="20"/>
        </w:rPr>
        <w:t>Can a compact temporal model forecast theta-gamma PAC five seconds ahead in the stored series on participants excluded from training?</w:t>
      </w:r>
    </w:p>
    <w:p>
      <w:pPr>
        <w:pStyle w:val="ListNumber"/>
        <w:spacing w:before="0" w:after="0" w:line="240" w:lineRule="auto"/>
        <w:ind w:left="259" w:hanging="173"/>
        <w:jc w:val="both"/>
      </w:pPr>
      <w:r>
        <w:rPr>
          <w:rFonts w:ascii="Times New Roman" w:hAnsi="Times New Roman"/>
          <w:b w:val="0"/>
          <w:i w:val="0"/>
          <w:sz w:val="20"/>
        </w:rPr>
        <w:t>Does the apparent forecasting advantage survive when PAC is recomputed from backward-looking contexts instead of complete-event summaries?</w:t>
      </w:r>
    </w:p>
    <w:p>
      <w:pPr>
        <w:pStyle w:val="ListNumber"/>
        <w:spacing w:before="0" w:after="0" w:line="240" w:lineRule="auto"/>
        <w:ind w:left="259" w:hanging="173"/>
        <w:jc w:val="both"/>
      </w:pPr>
      <w:r>
        <w:rPr>
          <w:rFonts w:ascii="Times New Roman" w:hAnsi="Times New Roman"/>
          <w:b w:val="0"/>
          <w:i w:val="0"/>
          <w:sz w:val="20"/>
        </w:rPr>
        <w:t>When the forecast is inserted into a retrospective controller replay, does it improve balanced decision alignment relative to fixed and reactive strategies?</w:t>
      </w:r>
    </w:p>
    <w:p>
      <w:pPr>
        <w:spacing w:before="0" w:after="0" w:line="240" w:lineRule="auto"/>
        <w:jc w:val="both"/>
      </w:pPr>
      <w:r>
        <w:rPr>
          <w:rFonts w:ascii="Times New Roman" w:hAnsi="Times New Roman"/>
          <w:b w:val="0"/>
          <w:i w:val="0"/>
          <w:sz w:val="20"/>
        </w:rPr>
        <w:t>Feature ablation identified a compact representation as the strongest event-summary input set. A 12-feature representation of PAC trajectory and stimulation context generalized substantially better than a larger 73-feature candidate representation. The backward-looking stress test then exposed a more consequential limitation: the TCN's advantage over a linear baseline did not persist. Controller replay exposed a separate calibration tradeoff. These negative findings sharpen the engineering requirements for a prospective system.</w:t>
      </w:r>
    </w:p>
    <w:p>
      <w:pPr>
        <w:spacing w:before="100" w:after="20" w:line="240" w:lineRule="auto"/>
        <w:jc w:val="center"/>
        <w:keepNext/>
      </w:pPr>
      <w:r>
        <w:rPr>
          <w:rFonts w:ascii="Times New Roman" w:hAnsi="Times New Roman"/>
          <w:b w:val="0"/>
          <w:i w:val="0"/>
          <w:sz w:val="20"/>
        </w:rPr>
        <w:t>II. DATA AND METHODS</w:t>
      </w:r>
    </w:p>
    <w:p>
      <w:pPr>
        <w:spacing w:before="60" w:after="0" w:line="240" w:lineRule="auto"/>
        <w:jc w:val="left"/>
        <w:keepNext/>
      </w:pPr>
      <w:r>
        <w:rPr>
          <w:rFonts w:ascii="Times New Roman" w:hAnsi="Times New Roman"/>
          <w:b w:val="0"/>
          <w:i/>
          <w:sz w:val="20"/>
        </w:rPr>
        <w:t>A. Dataset and Preprocessing</w:t>
      </w:r>
    </w:p>
    <w:p>
      <w:pPr>
        <w:spacing w:before="0" w:after="0" w:line="240" w:lineRule="auto"/>
        <w:jc w:val="both"/>
      </w:pPr>
      <w:r>
        <w:rPr>
          <w:rFonts w:ascii="Times New Roman" w:hAnsi="Times New Roman"/>
          <w:b w:val="0"/>
          <w:i w:val="0"/>
          <w:sz w:val="20"/>
        </w:rPr>
        <w:t xml:space="preserve">The analysis used the Brain Imaging Data Structure (BIDS)-formatted OpenNeuro dataset </w:t>
      </w:r>
      <w:r>
        <w:rPr>
          <w:rFonts w:ascii="Times New Roman" w:hAnsi="Times New Roman"/>
          <w:b w:val="0"/>
          <w:i w:val="0"/>
          <w:sz w:val="20"/>
        </w:rPr>
        <w:t>ds005048</w:t>
      </w:r>
      <w:r>
        <w:rPr>
          <w:rFonts w:ascii="Times New Roman" w:hAnsi="Times New Roman"/>
          <w:b w:val="0"/>
          <w:i w:val="0"/>
          <w:sz w:val="20"/>
        </w:rPr>
        <w:t xml:space="preserve"> version </w:t>
      </w:r>
      <w:r>
        <w:rPr>
          <w:rFonts w:ascii="Times New Roman" w:hAnsi="Times New Roman"/>
          <w:b w:val="0"/>
          <w:i w:val="0"/>
          <w:sz w:val="20"/>
        </w:rPr>
        <w:t>1.0.1</w:t>
      </w:r>
      <w:r>
        <w:rPr>
          <w:rFonts w:ascii="Times New Roman" w:hAnsi="Times New Roman"/>
          <w:b w:val="0"/>
          <w:i w:val="0"/>
          <w:sz w:val="20"/>
        </w:rPr>
        <w:t xml:space="preserve"> [3]. The local release contains auditory-entrainment EEG recordings from 35 participants recruited from a memory clinic, including participants with normal cognition, mild cognitive impairment, and Alzheimer's disease classifications. The source study recorded 19 monopolar EEG channels at 250 Hz during 40 Hz auditory stimulation trials interleaved with rest periods [2].</w:t>
      </w:r>
    </w:p>
    <w:p>
      <w:pPr>
        <w:spacing w:before="0" w:after="0" w:line="240" w:lineRule="auto"/>
        <w:jc w:val="both"/>
      </w:pPr>
      <w:r>
        <w:rPr>
          <w:rFonts w:ascii="Times New Roman" w:hAnsi="Times New Roman"/>
          <w:b w:val="0"/>
          <w:i w:val="0"/>
          <w:sz w:val="20"/>
        </w:rPr>
        <w:t xml:space="preserve">Seven frontal channels were selected: </w:t>
      </w:r>
      <w:r>
        <w:rPr>
          <w:rFonts w:ascii="Times New Roman" w:hAnsi="Times New Roman"/>
          <w:b w:val="0"/>
          <w:i w:val="0"/>
          <w:sz w:val="20"/>
        </w:rPr>
        <w:t>Fp1</w:t>
      </w:r>
      <w:r>
        <w:rPr>
          <w:rFonts w:ascii="Times New Roman" w:hAnsi="Times New Roman"/>
          <w:b w:val="0"/>
          <w:i w:val="0"/>
          <w:sz w:val="20"/>
        </w:rPr>
        <w:t xml:space="preserve">, </w:t>
      </w:r>
      <w:r>
        <w:rPr>
          <w:rFonts w:ascii="Times New Roman" w:hAnsi="Times New Roman"/>
          <w:b w:val="0"/>
          <w:i w:val="0"/>
          <w:sz w:val="20"/>
        </w:rPr>
        <w:t>Fp2</w:t>
      </w:r>
      <w:r>
        <w:rPr>
          <w:rFonts w:ascii="Times New Roman" w:hAnsi="Times New Roman"/>
          <w:b w:val="0"/>
          <w:i w:val="0"/>
          <w:sz w:val="20"/>
        </w:rPr>
        <w:t xml:space="preserve">, </w:t>
      </w:r>
      <w:r>
        <w:rPr>
          <w:rFonts w:ascii="Times New Roman" w:hAnsi="Times New Roman"/>
          <w:b w:val="0"/>
          <w:i w:val="0"/>
          <w:sz w:val="20"/>
        </w:rPr>
        <w:t>F7</w:t>
      </w:r>
      <w:r>
        <w:rPr>
          <w:rFonts w:ascii="Times New Roman" w:hAnsi="Times New Roman"/>
          <w:b w:val="0"/>
          <w:i w:val="0"/>
          <w:sz w:val="20"/>
        </w:rPr>
        <w:t xml:space="preserve">, </w:t>
      </w:r>
      <w:r>
        <w:rPr>
          <w:rFonts w:ascii="Times New Roman" w:hAnsi="Times New Roman"/>
          <w:b w:val="0"/>
          <w:i w:val="0"/>
          <w:sz w:val="20"/>
        </w:rPr>
        <w:t>F3</w:t>
      </w:r>
      <w:r>
        <w:rPr>
          <w:rFonts w:ascii="Times New Roman" w:hAnsi="Times New Roman"/>
          <w:b w:val="0"/>
          <w:i w:val="0"/>
          <w:sz w:val="20"/>
        </w:rPr>
        <w:t xml:space="preserve">, </w:t>
      </w:r>
      <w:r>
        <w:rPr>
          <w:rFonts w:ascii="Times New Roman" w:hAnsi="Times New Roman"/>
          <w:b w:val="0"/>
          <w:i w:val="0"/>
          <w:sz w:val="20"/>
        </w:rPr>
        <w:t>Fz</w:t>
      </w:r>
      <w:r>
        <w:rPr>
          <w:rFonts w:ascii="Times New Roman" w:hAnsi="Times New Roman"/>
          <w:b w:val="0"/>
          <w:i w:val="0"/>
          <w:sz w:val="20"/>
        </w:rPr>
        <w:t xml:space="preserve">, </w:t>
      </w:r>
      <w:r>
        <w:rPr>
          <w:rFonts w:ascii="Times New Roman" w:hAnsi="Times New Roman"/>
          <w:b w:val="0"/>
          <w:i w:val="0"/>
          <w:sz w:val="20"/>
        </w:rPr>
        <w:t>F4</w:t>
      </w:r>
      <w:r>
        <w:rPr>
          <w:rFonts w:ascii="Times New Roman" w:hAnsi="Times New Roman"/>
          <w:b w:val="0"/>
          <w:i w:val="0"/>
          <w:sz w:val="20"/>
        </w:rPr>
        <w:t xml:space="preserve">, and </w:t>
      </w:r>
      <w:r>
        <w:rPr>
          <w:rFonts w:ascii="Times New Roman" w:hAnsi="Times New Roman"/>
          <w:b w:val="0"/>
          <w:i w:val="0"/>
          <w:sz w:val="20"/>
        </w:rPr>
        <w:t>F8</w:t>
      </w:r>
      <w:r>
        <w:rPr>
          <w:rFonts w:ascii="Times New Roman" w:hAnsi="Times New Roman"/>
          <w:b w:val="0"/>
          <w:i w:val="0"/>
          <w:sz w:val="20"/>
        </w:rPr>
        <w:t xml:space="preserve">. The source study reports Makoto-pipeline preprocessing, including a </w:t>
      </w:r>
      <w:r>
        <w:rPr>
          <w:rFonts w:ascii="Times New Roman" w:hAnsi="Times New Roman"/>
          <w:b w:val="0"/>
          <w:i w:val="0"/>
          <w:sz w:val="20"/>
        </w:rPr>
        <w:t>1 Hz</w:t>
      </w:r>
      <w:r>
        <w:rPr>
          <w:rFonts w:ascii="Times New Roman" w:hAnsi="Times New Roman"/>
          <w:b w:val="0"/>
          <w:i w:val="0"/>
          <w:sz w:val="20"/>
        </w:rPr>
        <w:t xml:space="preserve"> high-pass filter, </w:t>
      </w:r>
      <w:r>
        <w:rPr>
          <w:rFonts w:ascii="Times New Roman" w:hAnsi="Times New Roman"/>
          <w:b w:val="0"/>
          <w:i w:val="0"/>
          <w:sz w:val="20"/>
        </w:rPr>
        <w:t>50 Hz</w:t>
      </w:r>
      <w:r>
        <w:rPr>
          <w:rFonts w:ascii="Times New Roman" w:hAnsi="Times New Roman"/>
          <w:b w:val="0"/>
          <w:i w:val="0"/>
          <w:sz w:val="20"/>
        </w:rPr>
        <w:t xml:space="preserve"> line-noise removal, artifact subspace reconstruction, average rereferencing, and ICA-based component rejection [2]. Released sidecar files independently report the </w:t>
      </w:r>
      <w:r>
        <w:rPr>
          <w:rFonts w:ascii="Times New Roman" w:hAnsi="Times New Roman"/>
          <w:b w:val="0"/>
          <w:i w:val="0"/>
          <w:sz w:val="20"/>
        </w:rPr>
        <w:t>1 Hz</w:t>
      </w:r>
      <w:r>
        <w:rPr>
          <w:rFonts w:ascii="Times New Roman" w:hAnsi="Times New Roman"/>
          <w:b w:val="0"/>
          <w:i w:val="0"/>
          <w:sz w:val="20"/>
        </w:rPr>
        <w:t xml:space="preserve"> high-pass filter, </w:t>
      </w:r>
      <w:r>
        <w:rPr>
          <w:rFonts w:ascii="Times New Roman" w:hAnsi="Times New Roman"/>
          <w:b w:val="0"/>
          <w:i w:val="0"/>
          <w:sz w:val="20"/>
        </w:rPr>
        <w:t>50 Hz</w:t>
      </w:r>
      <w:r>
        <w:rPr>
          <w:rFonts w:ascii="Times New Roman" w:hAnsi="Times New Roman"/>
          <w:b w:val="0"/>
          <w:i w:val="0"/>
          <w:sz w:val="20"/>
        </w:rPr>
        <w:t xml:space="preserve"> notch filter, and average reference. The local processing stage then applied an additional </w:t>
      </w:r>
      <w:r>
        <w:rPr>
          <w:rFonts w:ascii="Times New Roman" w:hAnsi="Times New Roman"/>
          <w:b w:val="0"/>
          <w:i w:val="0"/>
          <w:sz w:val="20"/>
        </w:rPr>
        <w:t>0.5-80 Hz</w:t>
      </w:r>
      <w:r>
        <w:rPr>
          <w:rFonts w:ascii="Times New Roman" w:hAnsi="Times New Roman"/>
          <w:b w:val="0"/>
          <w:i w:val="0"/>
          <w:sz w:val="20"/>
        </w:rPr>
        <w:t xml:space="preserve"> band-pass filter, a </w:t>
      </w:r>
      <w:r>
        <w:rPr>
          <w:rFonts w:ascii="Times New Roman" w:hAnsi="Times New Roman"/>
          <w:b w:val="0"/>
          <w:i w:val="0"/>
          <w:sz w:val="20"/>
        </w:rPr>
        <w:t>50 Hz</w:t>
      </w:r>
      <w:r>
        <w:rPr>
          <w:rFonts w:ascii="Times New Roman" w:hAnsi="Times New Roman"/>
          <w:b w:val="0"/>
          <w:i w:val="0"/>
          <w:sz w:val="20"/>
        </w:rPr>
        <w:t xml:space="preserve"> notch filter, absolute-amplitude masking above </w:t>
      </w:r>
      <w:r>
        <w:rPr>
          <w:rFonts w:ascii="Times New Roman" w:hAnsi="Times New Roman"/>
          <w:b w:val="0"/>
          <w:i w:val="0"/>
          <w:sz w:val="20"/>
        </w:rPr>
        <w:t>100 microvolts</w:t>
      </w:r>
      <w:r>
        <w:rPr>
          <w:rFonts w:ascii="Times New Roman" w:hAnsi="Times New Roman"/>
          <w:b w:val="0"/>
          <w:i w:val="0"/>
          <w:sz w:val="20"/>
        </w:rPr>
        <w:t>, and common-average rereferencing. Masked samples were set to zero before rereferencing. Each event period was segmented into two-second windows with a one-second hop.</w:t>
      </w:r>
    </w:p>
    <w:p>
      <w:pPr>
        <w:spacing w:before="60" w:after="0" w:line="240" w:lineRule="auto"/>
        <w:jc w:val="left"/>
        <w:keepNext/>
      </w:pPr>
      <w:r>
        <w:rPr>
          <w:rFonts w:ascii="Times New Roman" w:hAnsi="Times New Roman"/>
          <w:b w:val="0"/>
          <w:i/>
          <w:sz w:val="20"/>
        </w:rPr>
        <w:t>B. PAC Label Construction</w:t>
      </w:r>
    </w:p>
    <w:p>
      <w:pPr>
        <w:spacing w:before="0" w:after="0" w:line="240" w:lineRule="auto"/>
        <w:jc w:val="both"/>
      </w:pPr>
      <w:r>
        <w:rPr>
          <w:rFonts w:ascii="Times New Roman" w:hAnsi="Times New Roman"/>
          <w:b w:val="0"/>
          <w:i w:val="0"/>
          <w:sz w:val="20"/>
        </w:rPr>
        <w:t xml:space="preserve">Theta-gamma PAC was measured using the modulation index introduced by Tort et al. [5]. For each channel, theta phase was extracted from </w:t>
      </w:r>
      <w:r>
        <w:rPr>
          <w:rFonts w:ascii="Times New Roman" w:hAnsi="Times New Roman"/>
          <w:b w:val="0"/>
          <w:i w:val="0"/>
          <w:sz w:val="20"/>
        </w:rPr>
        <w:t>4-8 Hz</w:t>
      </w:r>
      <w:r>
        <w:rPr>
          <w:rFonts w:ascii="Times New Roman" w:hAnsi="Times New Roman"/>
          <w:b w:val="0"/>
          <w:i w:val="0"/>
          <w:sz w:val="20"/>
        </w:rPr>
        <w:t xml:space="preserve">, gamma amplitude from </w:t>
      </w:r>
      <w:r>
        <w:rPr>
          <w:rFonts w:ascii="Times New Roman" w:hAnsi="Times New Roman"/>
          <w:b w:val="0"/>
          <w:i w:val="0"/>
          <w:sz w:val="20"/>
        </w:rPr>
        <w:t>38-42 Hz</w:t>
      </w:r>
      <w:r>
        <w:rPr>
          <w:rFonts w:ascii="Times New Roman" w:hAnsi="Times New Roman"/>
          <w:b w:val="0"/>
          <w:i w:val="0"/>
          <w:sz w:val="20"/>
        </w:rPr>
        <w:t>, and the gamma amplitude distribution was summarized over 18 theta-phase bins. The normalized divergence from a uniform distribution produced a dimensionless modulation-index value. Values were averaged across the seven selected channels.</w:t>
      </w:r>
    </w:p>
    <w:p>
      <w:pPr>
        <w:spacing w:before="0" w:after="0" w:line="240" w:lineRule="auto"/>
        <w:jc w:val="both"/>
      </w:pPr>
      <w:r>
        <w:rPr>
          <w:rFonts w:ascii="Times New Roman" w:hAnsi="Times New Roman"/>
          <w:b w:val="0"/>
          <w:i w:val="0"/>
          <w:sz w:val="20"/>
        </w:rPr>
        <w:t>PAC was computed over complete event periods rather than individual two-second windows because short windows provide too few theta cycles for stable phase binning. Most event periods lasted 20 or 40 seconds. Each two-second window inherited the PAC value of its containing period. This stabilizes the label but has two consequences: labels repeat within periods, and a PAC value assigned to an early window summarizes signal samples acquired later in that period. The present analysis is therefore retrospective; an online estimator must be evaluated before live use.</w:t>
      </w:r>
    </w:p>
    <w:p>
      <w:pPr>
        <w:spacing w:before="60" w:after="0" w:line="240" w:lineRule="auto"/>
        <w:jc w:val="left"/>
        <w:keepNext/>
      </w:pPr>
      <w:r>
        <w:rPr>
          <w:rFonts w:ascii="Times New Roman" w:hAnsi="Times New Roman"/>
          <w:b w:val="0"/>
          <w:i/>
          <w:sz w:val="20"/>
        </w:rPr>
        <w:t>C. Temporally Ordered Forecasting Dataset</w:t>
      </w:r>
    </w:p>
    <w:p>
      <w:pPr>
        <w:spacing w:before="0" w:after="0" w:line="240" w:lineRule="auto"/>
        <w:jc w:val="both"/>
      </w:pPr>
      <w:r>
        <w:rPr>
          <w:rFonts w:ascii="Times New Roman" w:hAnsi="Times New Roman"/>
          <w:b w:val="0"/>
          <w:i w:val="0"/>
          <w:sz w:val="20"/>
        </w:rPr>
        <w:t>Each temporal sample used a 20-step lookback and a target five steps into the future. With a one-second hop, this corresponds to 20 stored-series seconds of history and a target five seconds after the sequence endpoint. Sequences were constructed separately within each participant so that no sequence crossed a participant boundary. Target indexing uses no later PAC-series entry as an input, but it does not resolve the online-availability limitation of the event-period PAC summaries.</w:t>
      </w:r>
    </w:p>
    <w:p>
      <w:pPr>
        <w:spacing w:before="0" w:after="0" w:line="240" w:lineRule="auto"/>
        <w:jc w:val="both"/>
      </w:pPr>
      <w:r>
        <w:rPr>
          <w:rFonts w:ascii="Times New Roman" w:hAnsi="Times New Roman"/>
          <w:b w:val="0"/>
          <w:i w:val="0"/>
          <w:sz w:val="20"/>
        </w:rPr>
        <w:t>The initial representation contained 73 candidate features per time step:</w:t>
      </w:r>
    </w:p>
    <w:p>
      <w:pPr>
        <w:pStyle w:val="ListBullet"/>
        <w:spacing w:before="0" w:after="0" w:line="240" w:lineRule="auto"/>
        <w:ind w:left="259" w:hanging="173"/>
        <w:jc w:val="both"/>
      </w:pPr>
      <w:r>
        <w:rPr>
          <w:rFonts w:ascii="Times New Roman" w:hAnsi="Times New Roman"/>
          <w:b w:val="0"/>
          <w:i w:val="0"/>
          <w:sz w:val="20"/>
        </w:rPr>
        <w:t>61 spectral features</w:t>
      </w:r>
    </w:p>
    <w:p>
      <w:pPr>
        <w:pStyle w:val="ListBullet"/>
        <w:spacing w:before="0" w:after="0" w:line="240" w:lineRule="auto"/>
        <w:ind w:left="259" w:hanging="173"/>
        <w:jc w:val="both"/>
      </w:pPr>
      <w:r>
        <w:rPr>
          <w:rFonts w:ascii="Times New Roman" w:hAnsi="Times New Roman"/>
          <w:b w:val="0"/>
          <w:i w:val="0"/>
          <w:sz w:val="20"/>
        </w:rPr>
        <w:t>7 PAC-history features: current PAC, trailing means over 2, 4, 8, and 16 steps, and differences over 1 and 4 steps</w:t>
      </w:r>
    </w:p>
    <w:p>
      <w:pPr>
        <w:pStyle w:val="ListBullet"/>
        <w:spacing w:before="0" w:after="0" w:line="240" w:lineRule="auto"/>
        <w:ind w:left="259" w:hanging="173"/>
        <w:jc w:val="both"/>
      </w:pPr>
      <w:r>
        <w:rPr>
          <w:rFonts w:ascii="Times New Roman" w:hAnsi="Times New Roman"/>
          <w:b w:val="0"/>
          <w:i w:val="0"/>
          <w:sz w:val="20"/>
        </w:rPr>
        <w:t>5 stimulation-context features: stimulation state, normalized time since switch, recent stimulation fraction, and sine/cosine protocol-phase terms.</w:t>
      </w:r>
    </w:p>
    <w:p>
      <w:pPr>
        <w:spacing w:before="0" w:after="0" w:line="240" w:lineRule="auto"/>
        <w:jc w:val="both"/>
      </w:pPr>
      <w:r>
        <w:rPr>
          <w:rFonts w:ascii="Times New Roman" w:hAnsi="Times New Roman"/>
          <w:b w:val="0"/>
          <w:i w:val="0"/>
          <w:sz w:val="20"/>
        </w:rPr>
        <w:t>Feature ablation retained only the 12 PAC and stimulation-context features for the selected model. The data were divided by participant into 24 training, 5 validation, and 6 test participants. The resulting temporal dataset contained 11,160 training, 2,605 validation, and 2,678 test sequences. Normalization statistics were fit on the training split only and then applied to all splits.</w:t>
      </w:r>
    </w:p>
    <w:p>
      <w:pPr>
        <w:spacing w:before="60" w:after="0" w:line="240" w:lineRule="auto"/>
        <w:jc w:val="left"/>
        <w:keepNext/>
      </w:pPr>
      <w:r>
        <w:rPr>
          <w:rFonts w:ascii="Times New Roman" w:hAnsi="Times New Roman"/>
          <w:b w:val="0"/>
          <w:i/>
          <w:sz w:val="20"/>
        </w:rPr>
        <w:t>D. Backward-Looking PAC Stress Test</w:t>
      </w:r>
    </w:p>
    <w:p>
      <w:pPr>
        <w:spacing w:before="0" w:after="0" w:line="240" w:lineRule="auto"/>
        <w:jc w:val="both"/>
      </w:pPr>
      <w:r>
        <w:rPr>
          <w:rFonts w:ascii="Times New Roman" w:hAnsi="Times New Roman"/>
          <w:b w:val="0"/>
          <w:i w:val="0"/>
          <w:sz w:val="20"/>
        </w:rPr>
        <w:t>To test how strongly the event-summary target definition influenced the result, an additional benchmark reconstructed contiguous event segments from the overlapping windows and recomputed PAC at each timestamp from a five-second backward-looking context ending at that timestamp. The benchmark used the same 20-step lookback, five-step horizon, 12 features, participant splits, and train-only normalization. For contexts shorter than three seconds at segment boundaries, the PAC computation used 9 rather than 18 phase bins.</w:t>
      </w:r>
    </w:p>
    <w:p>
      <w:pPr>
        <w:spacing w:before="0" w:after="0" w:line="240" w:lineRule="auto"/>
        <w:jc w:val="both"/>
      </w:pPr>
      <w:r>
        <w:rPr>
          <w:rFonts w:ascii="Times New Roman" w:hAnsi="Times New Roman"/>
          <w:b w:val="0"/>
          <w:i w:val="0"/>
          <w:sz w:val="20"/>
        </w:rPr>
        <w:t>No signal sample acquired after the forecast endpoint entered an input PAC value in this stress test. However, the benchmark still used zero-phase filtering within each bounded context. It is therefore closer to online availability than complete-event back-assignment, but it is not a validated streaming estimator.</w:t>
      </w:r>
    </w:p>
    <w:p>
      <w:pPr>
        <w:spacing w:before="40" w:after="0" w:line="240" w:lineRule="auto"/>
        <w:jc w:val="center"/>
      </w:pPr>
      <w:r>
        <w:drawing>
          <wp:inline xmlns:a="http://schemas.openxmlformats.org/drawingml/2006/main" xmlns:pic="http://schemas.openxmlformats.org/drawingml/2006/picture">
            <wp:extent cx="3017520" cy="2967491"/>
            <wp:docPr id="1" name="Picture 1"/>
            <wp:cNvGraphicFramePr>
              <a:graphicFrameLocks noChangeAspect="1"/>
            </wp:cNvGraphicFramePr>
            <a:graphic>
              <a:graphicData uri="http://schemas.openxmlformats.org/drawingml/2006/picture">
                <pic:pic>
                  <pic:nvPicPr>
                    <pic:cNvPr id="0" name="pac_benchmark_stress_test.png"/>
                    <pic:cNvPicPr/>
                  </pic:nvPicPr>
                  <pic:blipFill>
                    <a:blip r:embed="rId9"/>
                    <a:stretch>
                      <a:fillRect/>
                    </a:stretch>
                  </pic:blipFill>
                  <pic:spPr>
                    <a:xfrm>
                      <a:off x="0" y="0"/>
                      <a:ext cx="3017520" cy="2967491"/>
                    </a:xfrm>
                    <a:prstGeom prst="rect"/>
                  </pic:spPr>
                </pic:pic>
              </a:graphicData>
            </a:graphic>
          </wp:inline>
        </w:drawing>
      </w:r>
    </w:p>
    <w:p>
      <w:pPr>
        <w:spacing w:before="0" w:after="40" w:line="240" w:lineRule="auto"/>
        <w:jc w:val="center"/>
      </w:pPr>
      <w:r>
        <w:rPr>
          <w:rFonts w:ascii="Times New Roman" w:hAnsi="Times New Roman"/>
          <w:b w:val="0"/>
          <w:i/>
          <w:sz w:val="20"/>
        </w:rPr>
        <w:t>Figure 1. Event-summary PAC and backward-looking PAC benchmarks use different information boundaries.</w:t>
      </w:r>
    </w:p>
    <w:p>
      <w:pPr>
        <w:spacing w:before="60" w:after="0" w:line="240" w:lineRule="auto"/>
        <w:jc w:val="left"/>
        <w:keepNext/>
      </w:pPr>
      <w:r>
        <w:rPr>
          <w:rFonts w:ascii="Times New Roman" w:hAnsi="Times New Roman"/>
          <w:b w:val="0"/>
          <w:i/>
          <w:sz w:val="20"/>
        </w:rPr>
        <w:t>E. Temporal Model</w:t>
      </w:r>
    </w:p>
    <w:p>
      <w:pPr>
        <w:spacing w:before="0" w:after="0" w:line="240" w:lineRule="auto"/>
        <w:jc w:val="both"/>
      </w:pPr>
      <w:r>
        <w:rPr>
          <w:rFonts w:ascii="Times New Roman" w:hAnsi="Times New Roman"/>
          <w:b w:val="0"/>
          <w:i w:val="0"/>
          <w:sz w:val="20"/>
        </w:rPr>
        <w:t xml:space="preserve">The selected forecaster is a lightweight temporal convolutional network (TCN), a model family suited to ordered sequence processing [6]. An input projection is followed by four residual depthwise-separable temporal blocks with kernel size 3 and dilations </w:t>
      </w:r>
      <w:r>
        <w:rPr>
          <w:rFonts w:ascii="Times New Roman" w:hAnsi="Times New Roman"/>
          <w:b w:val="0"/>
          <w:i w:val="0"/>
          <w:sz w:val="20"/>
        </w:rPr>
        <w:t>[1, 2, 4, 8]</w:t>
      </w:r>
      <w:r>
        <w:rPr>
          <w:rFonts w:ascii="Times New Roman" w:hAnsi="Times New Roman"/>
          <w:b w:val="0"/>
          <w:i w:val="0"/>
          <w:sz w:val="20"/>
        </w:rPr>
        <w:t>. Within the stored input sequence, left-only padding prevents later entries from entering an earlier temporal representation. Attention pooling summarizes the 20-step sequence before regression heads estimate future PAC and PAC change.</w:t>
      </w:r>
    </w:p>
    <w:p>
      <w:pPr>
        <w:spacing w:before="0" w:after="0" w:line="240" w:lineRule="auto"/>
        <w:jc w:val="both"/>
      </w:pPr>
      <w:r>
        <w:rPr>
          <w:rFonts w:ascii="Times New Roman" w:hAnsi="Times New Roman"/>
          <w:b w:val="0"/>
          <w:i w:val="0"/>
          <w:sz w:val="20"/>
        </w:rPr>
        <w:t xml:space="preserve">The primary forecasting study evaluated the selected 12-feature representation across five random seeds. For controller integration, a dual-head 12-feature checkpoint was trained separately. That checkpoint contains 27,139 trainable parameters and records held-out test </w:t>
      </w:r>
      <w:r>
        <w:rPr>
          <w:rFonts w:ascii="Times New Roman" w:hAnsi="Times New Roman"/>
          <w:b w:val="0"/>
          <w:i w:val="0"/>
          <w:sz w:val="20"/>
        </w:rPr>
        <w:t>R-squared = 0.5844</w:t>
      </w:r>
      <w:r>
        <w:rPr>
          <w:rFonts w:ascii="Times New Roman" w:hAnsi="Times New Roman"/>
          <w:b w:val="0"/>
          <w:i w:val="0"/>
          <w:sz w:val="20"/>
        </w:rPr>
        <w:t>. Forecasting-study results and controller-replay results are reported separately because they come from distinct retraining runs.</w:t>
      </w:r>
    </w:p>
    <w:p>
      <w:pPr>
        <w:spacing w:before="60" w:after="0" w:line="240" w:lineRule="auto"/>
        <w:jc w:val="left"/>
        <w:keepNext/>
      </w:pPr>
      <w:r>
        <w:rPr>
          <w:rFonts w:ascii="Times New Roman" w:hAnsi="Times New Roman"/>
          <w:b w:val="0"/>
          <w:i/>
          <w:sz w:val="20"/>
        </w:rPr>
        <w:t>F. Retrospective Controller Replay</w:t>
      </w:r>
    </w:p>
    <w:p>
      <w:pPr>
        <w:spacing w:before="0" w:after="0" w:line="240" w:lineRule="auto"/>
        <w:jc w:val="both"/>
      </w:pPr>
      <w:r>
        <w:rPr>
          <w:rFonts w:ascii="Times New Roman" w:hAnsi="Times New Roman"/>
          <w:b w:val="0"/>
          <w:i w:val="0"/>
          <w:sz w:val="20"/>
        </w:rPr>
        <w:t>The integrated checkpoint was evaluated in offline replay on all 35 recorded PAC trajectories, including the training, validation, and test splits. This replay probes controller behavior; it is not an additional held-out forecasting test. The replay compared four strategies:</w:t>
      </w:r>
    </w:p>
    <w:p>
      <w:pPr>
        <w:pStyle w:val="ListNumber"/>
        <w:spacing w:before="0" w:after="0" w:line="240" w:lineRule="auto"/>
        <w:ind w:left="259" w:hanging="173"/>
        <w:jc w:val="both"/>
      </w:pPr>
      <w:r>
        <w:rPr>
          <w:rFonts w:ascii="Times New Roman" w:hAnsi="Times New Roman"/>
          <w:b/>
          <w:i w:val="0"/>
          <w:sz w:val="20"/>
        </w:rPr>
        <w:t>Fixed schedule:</w:t>
      </w:r>
      <w:r>
        <w:rPr>
          <w:rFonts w:ascii="Times New Roman" w:hAnsi="Times New Roman"/>
          <w:b w:val="0"/>
          <w:i w:val="0"/>
          <w:sz w:val="20"/>
        </w:rPr>
        <w:t xml:space="preserve"> replay the nominal recorded stimulation schedule.</w:t>
      </w:r>
    </w:p>
    <w:p>
      <w:pPr>
        <w:pStyle w:val="ListNumber"/>
        <w:spacing w:before="0" w:after="0" w:line="240" w:lineRule="auto"/>
        <w:ind w:left="259" w:hanging="173"/>
        <w:jc w:val="both"/>
      </w:pPr>
      <w:r>
        <w:rPr>
          <w:rFonts w:ascii="Times New Roman" w:hAnsi="Times New Roman"/>
          <w:b/>
          <w:i w:val="0"/>
          <w:sz w:val="20"/>
        </w:rPr>
        <w:t>Reactive threshold:</w:t>
      </w:r>
      <w:r>
        <w:rPr>
          <w:rFonts w:ascii="Times New Roman" w:hAnsi="Times New Roman"/>
          <w:b w:val="0"/>
          <w:i w:val="0"/>
          <w:sz w:val="20"/>
        </w:rPr>
        <w:t xml:space="preserve"> after a 10-sample warm-up, stimulate when current PAC is more than </w:t>
      </w:r>
      <w:r>
        <w:rPr>
          <w:rFonts w:ascii="Times New Roman" w:hAnsi="Times New Roman"/>
          <w:b w:val="0"/>
          <w:i w:val="0"/>
          <w:sz w:val="20"/>
        </w:rPr>
        <w:t>0.5</w:t>
      </w:r>
      <w:r>
        <w:rPr>
          <w:rFonts w:ascii="Times New Roman" w:hAnsi="Times New Roman"/>
          <w:b w:val="0"/>
          <w:i w:val="0"/>
          <w:sz w:val="20"/>
        </w:rPr>
        <w:t xml:space="preserve"> standard deviations below its 30-sample rolling baseline; otherwise rest.</w:t>
      </w:r>
    </w:p>
    <w:p>
      <w:pPr>
        <w:pStyle w:val="ListNumber"/>
        <w:spacing w:before="0" w:after="0" w:line="240" w:lineRule="auto"/>
        <w:ind w:left="259" w:hanging="173"/>
        <w:jc w:val="both"/>
      </w:pPr>
      <w:r>
        <w:rPr>
          <w:rFonts w:ascii="Times New Roman" w:hAnsi="Times New Roman"/>
          <w:b/>
          <w:i w:val="0"/>
          <w:sz w:val="20"/>
        </w:rPr>
        <w:t>TCN predictive:</w:t>
      </w:r>
      <w:r>
        <w:rPr>
          <w:rFonts w:ascii="Times New Roman" w:hAnsi="Times New Roman"/>
          <w:b w:val="0"/>
          <w:i w:val="0"/>
          <w:sz w:val="20"/>
        </w:rPr>
        <w:t xml:space="preserve"> stimulate or rest when normalized forecast PAC change crosses </w:t>
      </w:r>
      <w:r>
        <w:rPr>
          <w:rFonts w:ascii="Times New Roman" w:hAnsi="Times New Roman"/>
          <w:b w:val="0"/>
          <w:i w:val="0"/>
          <w:sz w:val="20"/>
        </w:rPr>
        <w:t>-0.3</w:t>
      </w:r>
      <w:r>
        <w:rPr>
          <w:rFonts w:ascii="Times New Roman" w:hAnsi="Times New Roman"/>
          <w:b w:val="0"/>
          <w:i w:val="0"/>
          <w:sz w:val="20"/>
        </w:rPr>
        <w:t xml:space="preserve"> or </w:t>
      </w:r>
      <w:r>
        <w:rPr>
          <w:rFonts w:ascii="Times New Roman" w:hAnsi="Times New Roman"/>
          <w:b w:val="0"/>
          <w:i w:val="0"/>
          <w:sz w:val="20"/>
        </w:rPr>
        <w:t>+0.3</w:t>
      </w:r>
      <w:r>
        <w:rPr>
          <w:rFonts w:ascii="Times New Roman" w:hAnsi="Times New Roman"/>
          <w:b w:val="0"/>
          <w:i w:val="0"/>
          <w:sz w:val="20"/>
        </w:rPr>
        <w:t>; otherwise use a current-PAC threshold fallback with a three-step minimum hold before switching state.</w:t>
      </w:r>
    </w:p>
    <w:p>
      <w:pPr>
        <w:pStyle w:val="ListNumber"/>
        <w:spacing w:before="0" w:after="0" w:line="240" w:lineRule="auto"/>
        <w:ind w:left="259" w:hanging="173"/>
        <w:jc w:val="both"/>
      </w:pPr>
      <w:r>
        <w:rPr>
          <w:rFonts w:ascii="Times New Roman" w:hAnsi="Times New Roman"/>
          <w:b/>
          <w:i w:val="0"/>
          <w:sz w:val="20"/>
        </w:rPr>
        <w:t>Alignment oracle:</w:t>
      </w:r>
      <w:r>
        <w:rPr>
          <w:rFonts w:ascii="Times New Roman" w:hAnsi="Times New Roman"/>
          <w:b w:val="0"/>
          <w:i w:val="0"/>
          <w:sz w:val="20"/>
        </w:rPr>
        <w:t xml:space="preserve"> stimulate below each participant's full-trajectory median PAC and rest otherwise.</w:t>
      </w:r>
    </w:p>
    <w:p>
      <w:pPr>
        <w:spacing w:before="0" w:after="0" w:line="240" w:lineRule="auto"/>
        <w:jc w:val="both"/>
      </w:pPr>
      <w:r>
        <w:rPr>
          <w:rFonts w:ascii="Times New Roman" w:hAnsi="Times New Roman"/>
          <w:b w:val="0"/>
          <w:i w:val="0"/>
          <w:sz w:val="20"/>
        </w:rPr>
        <w:t>The oracle uses the entire recorded trajectory and is not a causal or deployable strategy. For each participant, low PAC was defined relative to that participant's full-trajectory median. The low-PAC stimulation rate measured the fraction of low-PAC points assigned stimulation. The high-PAC rest rate measured the fraction of high-PAC points assigned rest. Balanced alignment was their mean:</w:t>
      </w:r>
    </w:p>
    <w:p>
      <w:pPr>
        <w:spacing w:before="0" w:after="0" w:line="240" w:lineRule="auto"/>
        <w:jc w:val="both"/>
      </w:pPr>
      <w:r>
        <w:rPr>
          <w:rFonts w:ascii="Times New Roman" w:hAnsi="Times New Roman"/>
          <w:b w:val="0"/>
          <w:i w:val="0"/>
          <w:sz w:val="20"/>
        </w:rPr>
        <w:t>alignment = (low-PAC stimulation rate + high-PAC rest rate) / 2</w:t>
      </w:r>
      <w:r>
        <w:rPr>
          <w:rFonts w:ascii="Times New Roman" w:hAnsi="Times New Roman"/>
          <w:b w:val="0"/>
          <w:i w:val="0"/>
          <w:sz w:val="20"/>
        </w:rPr>
        <w:t>.</w:t>
      </w:r>
    </w:p>
    <w:p>
      <w:pPr>
        <w:spacing w:before="0" w:after="0" w:line="240" w:lineRule="auto"/>
        <w:jc w:val="both"/>
      </w:pPr>
      <w:r>
        <w:rPr>
          <w:rFonts w:ascii="Times New Roman" w:hAnsi="Times New Roman"/>
          <w:b w:val="0"/>
          <w:i w:val="0"/>
          <w:sz w:val="20"/>
        </w:rPr>
        <w:t>The replay evaluates decision alignment against recorded PAC. It does not estimate how PAC would physiologically change if counterfactual stimulation decisions were delivered. Because the stimulation-context features are computed from the nominal recorded protocol rather than the controller's decisions, replay does not model a closed feedback loop. It is an offline controller diagnostic, not a prospective experiment.</w:t>
      </w:r>
    </w:p>
    <w:p>
      <w:pPr>
        <w:spacing w:before="100" w:after="20" w:line="240" w:lineRule="auto"/>
        <w:jc w:val="center"/>
        <w:keepNext/>
      </w:pPr>
      <w:r>
        <w:rPr>
          <w:rFonts w:ascii="Times New Roman" w:hAnsi="Times New Roman"/>
          <w:b w:val="0"/>
          <w:i w:val="0"/>
          <w:sz w:val="20"/>
        </w:rPr>
        <w:t>III. RESULTS</w:t>
      </w:r>
    </w:p>
    <w:p>
      <w:pPr>
        <w:spacing w:before="60" w:after="0" w:line="240" w:lineRule="auto"/>
        <w:jc w:val="left"/>
        <w:keepNext/>
      </w:pPr>
      <w:r>
        <w:rPr>
          <w:rFonts w:ascii="Times New Roman" w:hAnsi="Times New Roman"/>
          <w:b w:val="0"/>
          <w:i/>
          <w:sz w:val="20"/>
        </w:rPr>
        <w:t>A. Feature Selection Improved Held-Out Forecasting</w:t>
      </w:r>
    </w:p>
    <w:p>
      <w:pPr>
        <w:spacing w:before="0" w:after="0" w:line="240" w:lineRule="auto"/>
        <w:jc w:val="both"/>
      </w:pPr>
      <w:r>
        <w:rPr>
          <w:rFonts w:ascii="Times New Roman" w:hAnsi="Times New Roman"/>
          <w:b w:val="0"/>
          <w:i w:val="0"/>
          <w:sz w:val="20"/>
        </w:rPr>
        <w:t>Table I shows a single-seed TCN ablation on the same participant split. Adding the spectral feature set reduced held-out-participant generalization, while PAC history and stimulation context produced the strongest result.</w:t>
      </w:r>
    </w:p>
    <w:p>
      <w:pPr>
        <w:spacing w:before="40" w:after="20" w:line="240" w:lineRule="auto"/>
        <w:jc w:val="center"/>
        <w:keepNext/>
      </w:pPr>
      <w:r>
        <w:rPr>
          <w:rFonts w:ascii="Times New Roman" w:hAnsi="Times New Roman"/>
          <w:b w:val="0"/>
          <w:i w:val="0"/>
          <w:sz w:val="20"/>
        </w:rPr>
        <w:t>TABLE I. SINGLE-SEED FEATURE ABLATION AT A FIVE-SECOND HORIZON</w:t>
      </w:r>
    </w:p>
    <w:tbl>
      <w:tblPr>
        <w:tblW w:type="dxa" w:w="4752"/>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64"/>
        <w:gridCol w:w="893"/>
        <w:gridCol w:w="1195"/>
      </w:tblGrid>
      <w:tr>
        <w:tc>
          <w:tcPr>
            <w:tcW w:type="dxa" w:w="2664"/>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Input representation</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Features</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Test R2</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Spectral only</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61</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-0.420</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All candidate features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73</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-0.025</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PAC trajectory only</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7</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0.344</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PAC trajectory + stimulation context</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12</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0.558</w:t>
            </w:r>
          </w:p>
        </w:tc>
      </w:tr>
    </w:tbl>
    <w:p/>
    <w:p>
      <w:pPr>
        <w:spacing w:before="0" w:after="0" w:line="240" w:lineRule="auto"/>
        <w:jc w:val="both"/>
      </w:pPr>
      <w:r>
        <w:rPr>
          <w:rFonts w:ascii="Times New Roman" w:hAnsi="Times New Roman"/>
          <w:b w:val="0"/>
          <w:i w:val="0"/>
          <w:sz w:val="20"/>
        </w:rPr>
        <w:t>The ablation does not prove a biological mechanism for the spectral features' failure. It shows that the larger spectral representation introduces variation that does not transfer effectively to the held-out participants in this dataset.</w:t>
      </w:r>
    </w:p>
    <w:p>
      <w:pPr>
        <w:spacing w:before="0" w:after="0" w:line="240" w:lineRule="auto"/>
        <w:jc w:val="both"/>
      </w:pPr>
      <w:r>
        <w:rPr>
          <w:rFonts w:ascii="Times New Roman" w:hAnsi="Times New Roman"/>
          <w:b w:val="0"/>
          <w:i w:val="0"/>
          <w:sz w:val="20"/>
        </w:rPr>
        <w:t xml:space="preserve">Across five seeds, the selected 12-feature TCN achieved mean test </w:t>
      </w:r>
      <w:r>
        <w:rPr>
          <w:rFonts w:ascii="Times New Roman" w:hAnsi="Times New Roman"/>
          <w:b w:val="0"/>
          <w:i w:val="0"/>
          <w:sz w:val="20"/>
        </w:rPr>
        <w:t>R-squared = 0.606</w:t>
      </w:r>
      <w:r>
        <w:rPr>
          <w:rFonts w:ascii="Times New Roman" w:hAnsi="Times New Roman"/>
          <w:b w:val="0"/>
          <w:i w:val="0"/>
          <w:sz w:val="20"/>
        </w:rPr>
        <w:t xml:space="preserve">, with a range from </w:t>
      </w:r>
      <w:r>
        <w:rPr>
          <w:rFonts w:ascii="Times New Roman" w:hAnsi="Times New Roman"/>
          <w:b w:val="0"/>
          <w:i w:val="0"/>
          <w:sz w:val="20"/>
        </w:rPr>
        <w:t>0.558</w:t>
      </w:r>
      <w:r>
        <w:rPr>
          <w:rFonts w:ascii="Times New Roman" w:hAnsi="Times New Roman"/>
          <w:b w:val="0"/>
          <w:i w:val="0"/>
          <w:sz w:val="20"/>
        </w:rPr>
        <w:t xml:space="preserve"> to </w:t>
      </w:r>
      <w:r>
        <w:rPr>
          <w:rFonts w:ascii="Times New Roman" w:hAnsi="Times New Roman"/>
          <w:b w:val="0"/>
          <w:i w:val="0"/>
          <w:sz w:val="20"/>
        </w:rPr>
        <w:t>0.647</w:t>
      </w:r>
      <w:r>
        <w:rPr>
          <w:rFonts w:ascii="Times New Roman" w:hAnsi="Times New Roman"/>
          <w:b w:val="0"/>
          <w:i w:val="0"/>
          <w:sz w:val="20"/>
        </w:rPr>
        <w:t xml:space="preserve">. At the same five-second horizon, a last-value persistence baseline achieved </w:t>
      </w:r>
      <w:r>
        <w:rPr>
          <w:rFonts w:ascii="Times New Roman" w:hAnsi="Times New Roman"/>
          <w:b w:val="0"/>
          <w:i w:val="0"/>
          <w:sz w:val="20"/>
        </w:rPr>
        <w:t>R-squared = 0.104</w:t>
      </w:r>
      <w:r>
        <w:rPr>
          <w:rFonts w:ascii="Times New Roman" w:hAnsi="Times New Roman"/>
          <w:b w:val="0"/>
          <w:i w:val="0"/>
          <w:sz w:val="20"/>
        </w:rPr>
        <w:t>.</w:t>
      </w:r>
    </w:p>
    <w:p>
      <w:pPr>
        <w:spacing w:before="60" w:after="0" w:line="240" w:lineRule="auto"/>
        <w:jc w:val="left"/>
        <w:keepNext/>
      </w:pPr>
      <w:r>
        <w:rPr>
          <w:rFonts w:ascii="Times New Roman" w:hAnsi="Times New Roman"/>
          <w:b w:val="0"/>
          <w:i/>
          <w:sz w:val="20"/>
        </w:rPr>
        <w:t>B. Forecast Advantage Emerged Beyond One Second</w:t>
      </w:r>
    </w:p>
    <w:p>
      <w:pPr>
        <w:spacing w:before="0" w:after="0" w:line="240" w:lineRule="auto"/>
        <w:jc w:val="both"/>
      </w:pPr>
      <w:r>
        <w:rPr>
          <w:rFonts w:ascii="Times New Roman" w:hAnsi="Times New Roman"/>
          <w:b w:val="0"/>
          <w:i w:val="0"/>
          <w:sz w:val="20"/>
        </w:rPr>
        <w:t>Table II summarizes a single-seed horizon sweep. At one second, persistence and the TCN were nearly identical. At horizons from three to ten seconds, the TCN retained predictive signal as persistence degraded. The non-monotonic ten-second value is a single-seed result and should be replicated before it is treated as a stable estimate.</w:t>
      </w:r>
    </w:p>
    <w:p>
      <w:pPr>
        <w:spacing w:before="40" w:after="20" w:line="240" w:lineRule="auto"/>
        <w:jc w:val="center"/>
        <w:keepNext/>
      </w:pPr>
      <w:r>
        <w:rPr>
          <w:rFonts w:ascii="Times New Roman" w:hAnsi="Times New Roman"/>
          <w:b w:val="0"/>
          <w:i w:val="0"/>
          <w:sz w:val="20"/>
        </w:rPr>
        <w:t>TABLE II. SINGLE-SEED HORIZON SWEEP</w:t>
      </w:r>
    </w:p>
    <w:tbl>
      <w:tblPr>
        <w:tblW w:type="dxa" w:w="4752"/>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64"/>
        <w:gridCol w:w="893"/>
        <w:gridCol w:w="1195"/>
      </w:tblGrid>
      <w:tr>
        <w:tc>
          <w:tcPr>
            <w:tcW w:type="dxa" w:w="2664"/>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Horizon</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TCN test R2</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Persistence R2</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1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0.725</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0.726</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3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0.607</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0.178</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5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0.577</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0.104</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8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0.370</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-0.007</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10 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0.669</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-0.081</w:t>
            </w:r>
          </w:p>
        </w:tc>
      </w:tr>
    </w:tbl>
    <w:p/>
    <w:p>
      <w:pPr>
        <w:spacing w:before="60" w:after="0" w:line="240" w:lineRule="auto"/>
        <w:jc w:val="left"/>
        <w:keepNext/>
      </w:pPr>
      <w:r>
        <w:rPr>
          <w:rFonts w:ascii="Times New Roman" w:hAnsi="Times New Roman"/>
          <w:b w:val="0"/>
          <w:i/>
          <w:sz w:val="20"/>
        </w:rPr>
        <w:t>C. Backward-Looking PAC Changed the Model-Selection Result</w:t>
      </w:r>
    </w:p>
    <w:p>
      <w:pPr>
        <w:spacing w:before="0" w:after="0" w:line="240" w:lineRule="auto"/>
        <w:jc w:val="both"/>
      </w:pPr>
      <w:r>
        <w:rPr>
          <w:rFonts w:ascii="Times New Roman" w:hAnsi="Times New Roman"/>
          <w:b w:val="0"/>
          <w:i w:val="0"/>
          <w:sz w:val="20"/>
        </w:rPr>
        <w:t>Table III compares the event-summary benchmark with the backward-looking PAC stress test using the same TCN architecture at one random seed. The stress test eliminated repeated adjacent targets and made persistence substantially worse than predicting the test-set mean. Positive held-out signal remained, but the TCN no longer exceeded the Ridge baseline.</w:t>
      </w:r>
    </w:p>
    <w:p>
      <w:pPr>
        <w:spacing w:before="40" w:after="20" w:line="240" w:lineRule="auto"/>
        <w:jc w:val="center"/>
        <w:keepNext/>
      </w:pPr>
      <w:r>
        <w:rPr>
          <w:rFonts w:ascii="Times New Roman" w:hAnsi="Times New Roman"/>
          <w:b w:val="0"/>
          <w:i w:val="0"/>
          <w:sz w:val="20"/>
        </w:rPr>
        <w:t>TABLE III. EVENT-SUMMARY AND BACKWARD-LOOKING PAC BENCHMARKS</w:t>
      </w:r>
    </w:p>
    <w:tbl>
      <w:tblPr>
        <w:tblW w:type="dxa" w:w="4752"/>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64"/>
        <w:gridCol w:w="893"/>
        <w:gridCol w:w="1195"/>
      </w:tblGrid>
      <w:tr>
        <w:tc>
          <w:tcPr>
            <w:tcW w:type="dxa" w:w="2664"/>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Metric</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Event PAC</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Backward PAC</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Unique test targets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104</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2,678</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Adjacent same targets</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96.2%</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0.0%</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Persistence R-squared</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0.104</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-0.897</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Ridge R-squared</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0.260</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0.216</w:t>
            </w:r>
          </w:p>
        </w:tc>
      </w:tr>
      <w:tr>
        <w:tc>
          <w:tcPr>
            <w:tcW w:type="dxa" w:w="2664"/>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TCN R-squared</w:t>
            </w:r>
          </w:p>
        </w:tc>
        <w:tc>
          <w:tcPr>
            <w:tcW w:type="dxa" w:w="893"/>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0.554</w:t>
            </w:r>
          </w:p>
        </w:tc>
        <w:tc>
          <w:tcPr>
            <w:tcW w:type="dxa" w:w="1195"/>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0.212</w:t>
            </w:r>
          </w:p>
        </w:tc>
      </w:tr>
    </w:tbl>
    <w:p/>
    <w:p>
      <w:pPr>
        <w:spacing w:before="0" w:after="0" w:line="240" w:lineRule="auto"/>
        <w:jc w:val="both"/>
      </w:pPr>
      <w:r>
        <w:rPr>
          <w:rFonts w:ascii="Times New Roman" w:hAnsi="Times New Roman"/>
          <w:b w:val="0"/>
          <w:i w:val="0"/>
          <w:sz w:val="20"/>
        </w:rPr>
        <w:t>The event-summary result remains useful as a diagnostic of stored-series structure. It is not evidence that a nonlinear TCN is necessary for an online-compatible forecaster.</w:t>
      </w:r>
    </w:p>
    <w:p>
      <w:pPr>
        <w:spacing w:before="60" w:after="0" w:line="240" w:lineRule="auto"/>
        <w:jc w:val="left"/>
        <w:keepNext/>
      </w:pPr>
      <w:r>
        <w:rPr>
          <w:rFonts w:ascii="Times New Roman" w:hAnsi="Times New Roman"/>
          <w:b w:val="0"/>
          <w:i/>
          <w:sz w:val="20"/>
        </w:rPr>
        <w:t>D. Predictive Replay Revealed a Targeting-Specificity Tradeoff</w:t>
      </w:r>
    </w:p>
    <w:p>
      <w:pPr>
        <w:spacing w:before="0" w:after="0" w:line="240" w:lineRule="auto"/>
        <w:jc w:val="both"/>
      </w:pPr>
      <w:r>
        <w:rPr>
          <w:rFonts w:ascii="Times New Roman" w:hAnsi="Times New Roman"/>
          <w:b w:val="0"/>
          <w:i w:val="0"/>
          <w:sz w:val="20"/>
        </w:rPr>
        <w:t>Table III reports offline replay of the integrated 12-feature checkpoint across all 35 recorded trajectories. The predictive controller improved low-PAC stimulation targeting by 22.1 percentage points relative to reactive thresholding. However, high-PAC rest specificity decreased by 26.6 points. The targeting gain was not sufficient to improve balanced alignment.</w:t>
      </w:r>
    </w:p>
    <w:p>
      <w:pPr>
        <w:spacing w:before="40" w:after="20" w:line="240" w:lineRule="auto"/>
        <w:jc w:val="center"/>
        <w:keepNext/>
      </w:pPr>
      <w:r>
        <w:rPr>
          <w:rFonts w:ascii="Times New Roman" w:hAnsi="Times New Roman"/>
          <w:b w:val="0"/>
          <w:i w:val="0"/>
          <w:sz w:val="20"/>
        </w:rPr>
        <w:t>TABLE IV. RETROSPECTIVE CONTROLLER REPLAY ON 35 RECORDED TRAJECTORIES</w:t>
      </w:r>
    </w:p>
    <w:tbl>
      <w:tblPr>
        <w:tblW w:type="dxa" w:w="4752"/>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56"/>
        <w:gridCol w:w="720"/>
        <w:gridCol w:w="792"/>
        <w:gridCol w:w="792"/>
        <w:gridCol w:w="792"/>
      </w:tblGrid>
      <w:tr>
        <w:tc>
          <w:tcPr>
            <w:tcW w:type="dxa" w:w="1656"/>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Strategy</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Bal. align.</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Low stim.</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High rest</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i w:val="0"/>
                <w:sz w:val="20"/>
              </w:rPr>
              <w:t>MI gap x 10^-6</w:t>
            </w:r>
          </w:p>
        </w:tc>
      </w:tr>
      <w:tr>
        <w:tc>
          <w:tcPr>
            <w:tcW w:type="dxa" w:w="1656"/>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Fixed schedule</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45.0%</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61.4%</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28.6%</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-6.55</w:t>
            </w:r>
          </w:p>
        </w:tc>
      </w:tr>
      <w:tr>
        <w:tc>
          <w:tcPr>
            <w:tcW w:type="dxa" w:w="1656"/>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Reactive threshold</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64.5%</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51.7%</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77.3%</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21.09</w:t>
            </w:r>
          </w:p>
        </w:tc>
      </w:tr>
      <w:tr>
        <w:tc>
          <w:tcPr>
            <w:tcW w:type="dxa" w:w="1656"/>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TCN predictive (12-feature)</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62.2%</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73.8%</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50.7%</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21.02</w:t>
            </w:r>
          </w:p>
        </w:tc>
      </w:tr>
      <w:tr>
        <w:tc>
          <w:tcPr>
            <w:tcW w:type="dxa" w:w="1656"/>
            <w:tcMar>
              <w:top w:w="40" w:type="dxa"/>
              <w:start w:w="55" w:type="dxa"/>
              <w:bottom w:w="40" w:type="dxa"/>
              <w:end w:w="55" w:type="dxa"/>
            </w:tcMar>
            <w:vAlign w:val="center"/>
          </w:tcPr>
          <w:p>
            <w:pPr>
              <w:spacing w:before="0" w:after="0" w:line="240" w:lineRule="auto"/>
              <w:jc w:val="left"/>
            </w:pPr>
            <w:r>
              <w:rPr>
                <w:rFonts w:ascii="Times New Roman" w:hAnsi="Times New Roman"/>
                <w:b w:val="0"/>
                <w:i w:val="0"/>
                <w:sz w:val="20"/>
              </w:rPr>
              <w:t>Alignment oracle</w:t>
            </w:r>
          </w:p>
        </w:tc>
        <w:tc>
          <w:tcPr>
            <w:tcW w:type="dxa" w:w="720"/>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100.0%</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100.0%</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100.0%</w:t>
            </w:r>
          </w:p>
        </w:tc>
        <w:tc>
          <w:tcPr>
            <w:tcW w:type="dxa" w:w="792"/>
            <w:tcMar>
              <w:top w:w="40" w:type="dxa"/>
              <w:start w:w="55" w:type="dxa"/>
              <w:bottom w:w="40" w:type="dxa"/>
              <w:end w:w="55" w:type="dxa"/>
            </w:tcMar>
            <w:vAlign w:val="center"/>
          </w:tcPr>
          <w:p>
            <w:pPr>
              <w:spacing w:before="0" w:after="0" w:line="240" w:lineRule="auto"/>
              <w:jc w:val="center"/>
            </w:pPr>
            <w:r>
              <w:rPr>
                <w:rFonts w:ascii="Times New Roman" w:hAnsi="Times New Roman"/>
                <w:b w:val="0"/>
                <w:i w:val="0"/>
                <w:sz w:val="20"/>
              </w:rPr>
              <w:t>33.36</w:t>
            </w:r>
          </w:p>
        </w:tc>
      </w:tr>
    </w:tbl>
    <w:p/>
    <w:p>
      <w:pPr>
        <w:spacing w:before="0" w:after="0" w:line="240" w:lineRule="auto"/>
        <w:jc w:val="both"/>
      </w:pPr>
      <w:r>
        <w:rPr>
          <w:rFonts w:ascii="Times New Roman" w:hAnsi="Times New Roman"/>
          <w:b w:val="0"/>
          <w:i w:val="0"/>
          <w:sz w:val="20"/>
        </w:rPr>
        <w:t>The PAC gap is mean PAC during rest minus mean PAC during stimulation, reported in x 10^-6 modulation-index units. A positive value indicates that stimulation decisions are concentrated more strongly in lower-PAC periods. The predictive and reactive strategies produced nearly identical PAC gaps despite different action profiles.</w:t>
      </w:r>
    </w:p>
    <w:p>
      <w:pPr>
        <w:spacing w:before="60" w:after="0" w:line="240" w:lineRule="auto"/>
        <w:jc w:val="left"/>
        <w:keepNext/>
      </w:pPr>
      <w:r>
        <w:rPr>
          <w:rFonts w:ascii="Times New Roman" w:hAnsi="Times New Roman"/>
          <w:b w:val="0"/>
          <w:i/>
          <w:sz w:val="20"/>
        </w:rPr>
        <w:t>E. Leakage Checks and Label-Resolution Caveat</w:t>
      </w:r>
    </w:p>
    <w:p>
      <w:pPr>
        <w:spacing w:before="0" w:after="0" w:line="240" w:lineRule="auto"/>
        <w:jc w:val="both"/>
      </w:pPr>
      <w:r>
        <w:rPr>
          <w:rFonts w:ascii="Times New Roman" w:hAnsi="Times New Roman"/>
          <w:b w:val="0"/>
          <w:i w:val="0"/>
          <w:sz w:val="20"/>
        </w:rPr>
        <w:t xml:space="preserve">The stored temporal dataset was audited for subject overlap, future-index ordering, and normalization contamination. No participant appeared in more than one split. Every target index was exactly five steps after the sequence endpoint. Recomputed training statistics matched the stored normalizers. A reduced-model permutation test produced approximately zero validation </w:t>
      </w:r>
      <w:r>
        <w:rPr>
          <w:rFonts w:ascii="Times New Roman" w:hAnsi="Times New Roman"/>
          <w:b w:val="0"/>
          <w:i w:val="0"/>
          <w:sz w:val="20"/>
        </w:rPr>
        <w:t>R-squared</w:t>
      </w:r>
      <w:r>
        <w:rPr>
          <w:rFonts w:ascii="Times New Roman" w:hAnsi="Times New Roman"/>
          <w:b w:val="0"/>
          <w:i w:val="0"/>
          <w:sz w:val="20"/>
        </w:rPr>
        <w:t xml:space="preserve"> across five independent label shuffles.</w:t>
      </w:r>
    </w:p>
    <w:p>
      <w:pPr>
        <w:spacing w:before="0" w:after="0" w:line="240" w:lineRule="auto"/>
        <w:jc w:val="both"/>
      </w:pPr>
      <w:r>
        <w:rPr>
          <w:rFonts w:ascii="Times New Roman" w:hAnsi="Times New Roman"/>
          <w:b w:val="0"/>
          <w:i w:val="0"/>
          <w:sz w:val="20"/>
        </w:rPr>
        <w:t xml:space="preserve">The central caveat is PAC-label granularity and availability. Because PAC is computed over complete event periods, </w:t>
      </w:r>
      <w:r>
        <w:rPr>
          <w:rFonts w:ascii="Times New Roman" w:hAnsi="Times New Roman"/>
          <w:b w:val="0"/>
          <w:i w:val="0"/>
          <w:sz w:val="20"/>
        </w:rPr>
        <w:t>82.2%</w:t>
      </w:r>
      <w:r>
        <w:rPr>
          <w:rFonts w:ascii="Times New Roman" w:hAnsi="Times New Roman"/>
          <w:b w:val="0"/>
          <w:i w:val="0"/>
          <w:sz w:val="20"/>
        </w:rPr>
        <w:t xml:space="preserve"> of five-step sample pairs have identical current and target PAC values. Persistence still achieves only </w:t>
      </w:r>
      <w:r>
        <w:rPr>
          <w:rFonts w:ascii="Times New Roman" w:hAnsi="Times New Roman"/>
          <w:b w:val="0"/>
          <w:i w:val="0"/>
          <w:sz w:val="20"/>
        </w:rPr>
        <w:t>R-squared = 0.104</w:t>
      </w:r>
      <w:r>
        <w:rPr>
          <w:rFonts w:ascii="Times New Roman" w:hAnsi="Times New Roman"/>
          <w:b w:val="0"/>
          <w:i w:val="0"/>
          <w:sz w:val="20"/>
        </w:rPr>
        <w:t xml:space="preserve"> on the held-out test split and </w:t>
      </w:r>
      <w:r>
        <w:rPr>
          <w:rFonts w:ascii="Times New Roman" w:hAnsi="Times New Roman"/>
          <w:b w:val="0"/>
          <w:i w:val="0"/>
          <w:sz w:val="20"/>
        </w:rPr>
        <w:t>R-squared = -0.272</w:t>
      </w:r>
      <w:r>
        <w:rPr>
          <w:rFonts w:ascii="Times New Roman" w:hAnsi="Times New Roman"/>
          <w:b w:val="0"/>
          <w:i w:val="0"/>
          <w:sz w:val="20"/>
        </w:rPr>
        <w:t xml:space="preserve"> on cross-event transitions. However, event-period back-assignment means that the stored current-PAC input is not yet a validated online feature. The forecasting results evaluate retrospective temporal structure, not an end-to-end streaming predictor.</w:t>
      </w:r>
    </w:p>
    <w:p>
      <w:pPr>
        <w:spacing w:before="100" w:after="20" w:line="240" w:lineRule="auto"/>
        <w:jc w:val="center"/>
        <w:keepNext/>
      </w:pPr>
      <w:r>
        <w:rPr>
          <w:rFonts w:ascii="Times New Roman" w:hAnsi="Times New Roman"/>
          <w:b w:val="0"/>
          <w:i w:val="0"/>
          <w:sz w:val="20"/>
        </w:rPr>
        <w:t>IV. DISCUSSION</w:t>
      </w:r>
    </w:p>
    <w:p>
      <w:pPr>
        <w:spacing w:before="0" w:after="0" w:line="240" w:lineRule="auto"/>
        <w:jc w:val="both"/>
      </w:pPr>
      <w:r>
        <w:rPr>
          <w:rFonts w:ascii="Times New Roman" w:hAnsi="Times New Roman"/>
          <w:b w:val="0"/>
          <w:i w:val="0"/>
          <w:sz w:val="20"/>
        </w:rPr>
        <w:t>The forecasting results show that stored PAC histories and stimulation context carry cross-participant signal at a five-second horizon. Feature selection was decisive within the event-summary benchmark: the compact representation transferred to unseen participants more effectively than the larger candidate set. Target definition was more consequential still. When PAC was recomputed from backward-looking contexts, positive held-out signal remained but the nonlinear advantage disappeared. This result argues for benchmarking target construction before optimizing model complexity.</w:t>
      </w:r>
    </w:p>
    <w:p>
      <w:pPr>
        <w:spacing w:before="0" w:after="0" w:line="240" w:lineRule="auto"/>
        <w:jc w:val="both"/>
      </w:pPr>
      <w:r>
        <w:rPr>
          <w:rFonts w:ascii="Times New Roman" w:hAnsi="Times New Roman"/>
          <w:b w:val="0"/>
          <w:i w:val="0"/>
          <w:sz w:val="20"/>
        </w:rPr>
        <w:t>The replay separates forecast quality from controller performance. The integrated checkpoint stimulates more low-PAC periods, but it also stimulates too frequently during high-PAC periods. A future controller should tune its objective for both sensitivity and specificity, evaluate thresholds on held-out participants, feed counterfactual actions back into stimulation-context features during simulation, and replace back-assigned PAC summaries with an online estimator.</w:t>
      </w:r>
    </w:p>
    <w:p>
      <w:pPr>
        <w:spacing w:before="0" w:after="0" w:line="240" w:lineRule="auto"/>
        <w:jc w:val="both"/>
      </w:pPr>
      <w:r>
        <w:rPr>
          <w:rFonts w:ascii="Times New Roman" w:hAnsi="Times New Roman"/>
          <w:b w:val="0"/>
          <w:i w:val="0"/>
          <w:sz w:val="20"/>
        </w:rPr>
        <w:t>The study has five main limitations:</w:t>
      </w:r>
    </w:p>
    <w:p>
      <w:pPr>
        <w:pStyle w:val="ListNumber"/>
        <w:spacing w:before="0" w:after="0" w:line="240" w:lineRule="auto"/>
        <w:ind w:left="259" w:hanging="173"/>
        <w:jc w:val="both"/>
      </w:pPr>
      <w:r>
        <w:rPr>
          <w:rFonts w:ascii="Times New Roman" w:hAnsi="Times New Roman"/>
          <w:b w:val="0"/>
          <w:i w:val="0"/>
          <w:sz w:val="20"/>
        </w:rPr>
        <w:t>The controller evaluation is retrospective replay, not a live intervention.</w:t>
      </w:r>
    </w:p>
    <w:p>
      <w:pPr>
        <w:pStyle w:val="ListNumber"/>
        <w:spacing w:before="0" w:after="0" w:line="240" w:lineRule="auto"/>
        <w:ind w:left="259" w:hanging="173"/>
        <w:jc w:val="both"/>
      </w:pPr>
      <w:r>
        <w:rPr>
          <w:rFonts w:ascii="Times New Roman" w:hAnsi="Times New Roman"/>
          <w:b w:val="0"/>
          <w:i w:val="0"/>
          <w:sz w:val="20"/>
        </w:rPr>
        <w:t>The replay cannot estimate physiological responses to counterfactual stimulation timing.</w:t>
      </w:r>
    </w:p>
    <w:p>
      <w:pPr>
        <w:pStyle w:val="ListNumber"/>
        <w:spacing w:before="0" w:after="0" w:line="240" w:lineRule="auto"/>
        <w:ind w:left="259" w:hanging="173"/>
        <w:jc w:val="both"/>
      </w:pPr>
      <w:r>
        <w:rPr>
          <w:rFonts w:ascii="Times New Roman" w:hAnsi="Times New Roman"/>
          <w:b w:val="0"/>
          <w:i w:val="0"/>
          <w:sz w:val="20"/>
        </w:rPr>
        <w:t>Primary PAC inputs are complete-event summaries assigned back to constituent windows and are not validated as streaming-available features.</w:t>
      </w:r>
    </w:p>
    <w:p>
      <w:pPr>
        <w:pStyle w:val="ListNumber"/>
        <w:spacing w:before="0" w:after="0" w:line="240" w:lineRule="auto"/>
        <w:ind w:left="259" w:hanging="173"/>
        <w:jc w:val="both"/>
      </w:pPr>
      <w:r>
        <w:rPr>
          <w:rFonts w:ascii="Times New Roman" w:hAnsi="Times New Roman"/>
          <w:b w:val="0"/>
          <w:i w:val="0"/>
          <w:sz w:val="20"/>
        </w:rPr>
        <w:t>The backward-looking stress test uses zero-phase filtering inside bounded contexts and is not a production streaming estimator.</w:t>
      </w:r>
    </w:p>
    <w:p>
      <w:pPr>
        <w:pStyle w:val="ListNumber"/>
        <w:spacing w:before="0" w:after="0" w:line="240" w:lineRule="auto"/>
        <w:ind w:left="259" w:hanging="173"/>
        <w:jc w:val="both"/>
      </w:pPr>
      <w:r>
        <w:rPr>
          <w:rFonts w:ascii="Times New Roman" w:hAnsi="Times New Roman"/>
          <w:b w:val="0"/>
          <w:i w:val="0"/>
          <w:sz w:val="20"/>
        </w:rPr>
        <w:t>The dataset is single-site and modest in size, and split sensitivity requires further evaluation.</w:t>
      </w:r>
    </w:p>
    <w:p>
      <w:pPr>
        <w:spacing w:before="0" w:after="0" w:line="240" w:lineRule="auto"/>
        <w:jc w:val="both"/>
      </w:pPr>
      <w:r>
        <w:rPr>
          <w:rFonts w:ascii="Times New Roman" w:hAnsi="Times New Roman"/>
          <w:b w:val="0"/>
          <w:i w:val="0"/>
          <w:sz w:val="20"/>
        </w:rPr>
        <w:t>These limitations rule out clinical or therapeutic efficacy claims. The next experiments should evaluate additional backward-looking PAC context lengths, implement a streaming-compatible PAC estimator, measure repeated participant-split performance, calibrate controller objectives using held-out participants, and then test a prospective streaming implementation.</w:t>
      </w:r>
    </w:p>
    <w:p>
      <w:pPr>
        <w:spacing w:before="100" w:after="20" w:line="240" w:lineRule="auto"/>
        <w:jc w:val="center"/>
        <w:keepNext/>
      </w:pPr>
      <w:r>
        <w:rPr>
          <w:rFonts w:ascii="Times New Roman" w:hAnsi="Times New Roman"/>
          <w:b w:val="0"/>
          <w:i w:val="0"/>
          <w:sz w:val="20"/>
        </w:rPr>
        <w:t>V. CONCLUSION</w:t>
      </w:r>
    </w:p>
    <w:p>
      <w:pPr>
        <w:spacing w:before="0" w:after="0" w:line="240" w:lineRule="auto"/>
        <w:jc w:val="both"/>
      </w:pPr>
      <w:r>
        <w:rPr>
          <w:rFonts w:ascii="Times New Roman" w:hAnsi="Times New Roman"/>
          <w:b w:val="0"/>
          <w:i w:val="0"/>
          <w:sz w:val="20"/>
        </w:rPr>
        <w:t xml:space="preserve">In an event-summary benchmark, a 12-feature TCN forecasted theta-gamma PAC five seconds ahead on held-out participants more accurately than a larger 73-feature candidate representation. Across five seeds, mean forecasting performance reached </w:t>
      </w:r>
      <w:r>
        <w:rPr>
          <w:rFonts w:ascii="Times New Roman" w:hAnsi="Times New Roman"/>
          <w:b w:val="0"/>
          <w:i w:val="0"/>
          <w:sz w:val="20"/>
        </w:rPr>
        <w:t>R-squared = 0.606</w:t>
      </w:r>
      <w:r>
        <w:rPr>
          <w:rFonts w:ascii="Times New Roman" w:hAnsi="Times New Roman"/>
          <w:b w:val="0"/>
          <w:i w:val="0"/>
          <w:sz w:val="20"/>
        </w:rPr>
        <w:t>. A backward-looking PAC stress test then removed the repeated-target shortcut: the TCN retained positive held-out R-squared but did not exceed Ridge regression. Offline replay showed stronger low-PAC targeting without improved balanced alignment. The results support compact temporal feature design and rigorous target-definition audits. A streaming PAC estimator and separately validated controller are required before live testing.</w:t>
      </w:r>
    </w:p>
    <w:p>
      <w:pPr>
        <w:spacing w:before="100" w:after="20" w:line="240" w:lineRule="auto"/>
        <w:jc w:val="center"/>
        <w:keepNext/>
      </w:pPr>
      <w:r>
        <w:rPr>
          <w:rFonts w:ascii="Times New Roman" w:hAnsi="Times New Roman"/>
          <w:b w:val="0"/>
          <w:i w:val="0"/>
          <w:sz w:val="20"/>
        </w:rPr>
        <w:t>REFERENCES</w:t>
      </w:r>
    </w:p>
    <w:p>
      <w:pPr>
        <w:spacing w:before="0" w:after="0" w:line="240" w:lineRule="auto"/>
        <w:jc w:val="both"/>
      </w:pPr>
      <w:r>
        <w:rPr>
          <w:rFonts w:ascii="Times New Roman" w:hAnsi="Times New Roman"/>
          <w:b w:val="0"/>
          <w:i w:val="0"/>
          <w:sz w:val="20"/>
        </w:rPr>
        <w:t xml:space="preserve">[1] H. F. Iaccarino, A. C. Singer, A. J. Martorell, et al., "Gamma frequency entrainment attenuates amyloid load and modifies microglia," </w:t>
      </w:r>
      <w:r>
        <w:rPr>
          <w:rFonts w:ascii="Times New Roman" w:hAnsi="Times New Roman"/>
          <w:b w:val="0"/>
          <w:i/>
          <w:sz w:val="20"/>
        </w:rPr>
        <w:t>Nature</w:t>
      </w:r>
      <w:r>
        <w:rPr>
          <w:rFonts w:ascii="Times New Roman" w:hAnsi="Times New Roman"/>
          <w:b w:val="0"/>
          <w:i w:val="0"/>
          <w:sz w:val="20"/>
        </w:rPr>
        <w:t>, vol. 540, pp. 230-235, 2016. doi:10.1038/nature20587.</w:t>
      </w:r>
    </w:p>
    <w:p>
      <w:pPr>
        <w:spacing w:before="0" w:after="0" w:line="240" w:lineRule="auto"/>
        <w:jc w:val="both"/>
      </w:pPr>
      <w:r>
        <w:rPr>
          <w:rFonts w:ascii="Times New Roman" w:hAnsi="Times New Roman"/>
          <w:b w:val="0"/>
          <w:i w:val="0"/>
          <w:sz w:val="20"/>
        </w:rPr>
        <w:t xml:space="preserve">[2] M. Lahijanian, H. Aghajan, and Z. Vahabi, "Auditory gamma-band entrainment enhances default mode network connectivity in dementia patients," </w:t>
      </w:r>
      <w:r>
        <w:rPr>
          <w:rFonts w:ascii="Times New Roman" w:hAnsi="Times New Roman"/>
          <w:b w:val="0"/>
          <w:i/>
          <w:sz w:val="20"/>
        </w:rPr>
        <w:t>Scientific Reports</w:t>
      </w:r>
      <w:r>
        <w:rPr>
          <w:rFonts w:ascii="Times New Roman" w:hAnsi="Times New Roman"/>
          <w:b w:val="0"/>
          <w:i w:val="0"/>
          <w:sz w:val="20"/>
        </w:rPr>
        <w:t>, vol. 14, art. 13153, 2024. doi:10.1038/s41598-024-63727-z.</w:t>
      </w:r>
    </w:p>
    <w:p>
      <w:pPr>
        <w:spacing w:before="0" w:after="0" w:line="240" w:lineRule="auto"/>
        <w:jc w:val="both"/>
      </w:pPr>
      <w:r>
        <w:rPr>
          <w:rFonts w:ascii="Times New Roman" w:hAnsi="Times New Roman"/>
          <w:b w:val="0"/>
          <w:i w:val="0"/>
          <w:sz w:val="20"/>
        </w:rPr>
        <w:t xml:space="preserve">[3] M. Lahijanian, H. Aghajan, and Z. Vahabi, "40Hz Auditory Entrainment," OpenNeuro dataset </w:t>
      </w:r>
      <w:r>
        <w:rPr>
          <w:rFonts w:ascii="Times New Roman" w:hAnsi="Times New Roman"/>
          <w:b w:val="0"/>
          <w:i w:val="0"/>
          <w:sz w:val="20"/>
        </w:rPr>
        <w:t>ds005048</w:t>
      </w:r>
      <w:r>
        <w:rPr>
          <w:rFonts w:ascii="Times New Roman" w:hAnsi="Times New Roman"/>
          <w:b w:val="0"/>
          <w:i w:val="0"/>
          <w:sz w:val="20"/>
        </w:rPr>
        <w:t xml:space="preserve">, ver. </w:t>
      </w:r>
      <w:r>
        <w:rPr>
          <w:rFonts w:ascii="Times New Roman" w:hAnsi="Times New Roman"/>
          <w:b w:val="0"/>
          <w:i w:val="0"/>
          <w:sz w:val="20"/>
        </w:rPr>
        <w:t>1.0.1</w:t>
      </w:r>
      <w:r>
        <w:rPr>
          <w:rFonts w:ascii="Times New Roman" w:hAnsi="Times New Roman"/>
          <w:b w:val="0"/>
          <w:i w:val="0"/>
          <w:sz w:val="20"/>
        </w:rPr>
        <w:t>. doi:10.18112/openneuro.ds005048.v1.0.1.</w:t>
      </w:r>
    </w:p>
    <w:p>
      <w:pPr>
        <w:spacing w:before="0" w:after="0" w:line="240" w:lineRule="auto"/>
        <w:jc w:val="both"/>
      </w:pPr>
      <w:r>
        <w:rPr>
          <w:rFonts w:ascii="Times New Roman" w:hAnsi="Times New Roman"/>
          <w:b w:val="0"/>
          <w:i w:val="0"/>
          <w:sz w:val="20"/>
        </w:rPr>
        <w:t xml:space="preserve">[4] G. Soleimani, M. A. Nitsche, T. O. Bergmann, et al., "Closing the loop between brain and electrical stimulation: towards precision neuromodulation treatments," </w:t>
      </w:r>
      <w:r>
        <w:rPr>
          <w:rFonts w:ascii="Times New Roman" w:hAnsi="Times New Roman"/>
          <w:b w:val="0"/>
          <w:i/>
          <w:sz w:val="20"/>
        </w:rPr>
        <w:t>Translational Psychiatry</w:t>
      </w:r>
      <w:r>
        <w:rPr>
          <w:rFonts w:ascii="Times New Roman" w:hAnsi="Times New Roman"/>
          <w:b w:val="0"/>
          <w:i w:val="0"/>
          <w:sz w:val="20"/>
        </w:rPr>
        <w:t>, vol. 13, art. 279, 2023. doi:10.1038/s41398-023-02565-5.</w:t>
      </w:r>
    </w:p>
    <w:p>
      <w:pPr>
        <w:spacing w:before="0" w:after="0" w:line="240" w:lineRule="auto"/>
        <w:jc w:val="both"/>
      </w:pPr>
      <w:r>
        <w:rPr>
          <w:rFonts w:ascii="Times New Roman" w:hAnsi="Times New Roman"/>
          <w:b w:val="0"/>
          <w:i w:val="0"/>
          <w:sz w:val="20"/>
        </w:rPr>
        <w:t xml:space="preserve">[5] A. B. L. Tort, R. Komorowski, H. Eichenbaum, and N. Kopell, "Measuring phase-amplitude coupling between neuronal oscillations of different frequencies," </w:t>
      </w:r>
      <w:r>
        <w:rPr>
          <w:rFonts w:ascii="Times New Roman" w:hAnsi="Times New Roman"/>
          <w:b w:val="0"/>
          <w:i/>
          <w:sz w:val="20"/>
        </w:rPr>
        <w:t>Journal of Neurophysiology</w:t>
      </w:r>
      <w:r>
        <w:rPr>
          <w:rFonts w:ascii="Times New Roman" w:hAnsi="Times New Roman"/>
          <w:b w:val="0"/>
          <w:i w:val="0"/>
          <w:sz w:val="20"/>
        </w:rPr>
        <w:t>, vol. 104, no. 2, pp. 1195-1210, 2010. doi:10.1152/jn.00106.2010.</w:t>
      </w:r>
    </w:p>
    <w:p>
      <w:pPr>
        <w:spacing w:before="0" w:after="0" w:line="240" w:lineRule="auto"/>
        <w:jc w:val="both"/>
      </w:pPr>
      <w:r>
        <w:rPr>
          <w:rFonts w:ascii="Times New Roman" w:hAnsi="Times New Roman"/>
          <w:b w:val="0"/>
          <w:i w:val="0"/>
          <w:sz w:val="20"/>
        </w:rPr>
        <w:t>[6] S. Bai, J. Z. Kolter, and V. Koltun, "An empirical evaluation of generic convolutional and recurrent networks for sequence modeling," arXiv:1803.01271, 2018.</w:t>
      </w:r>
    </w:p>
    <w:sectPr w:rsidR="00FC693F" w:rsidRPr="0006063C" w:rsidSect="00034616">
      <w:type w:val="continuous"/>
      <w:pgSz w:w="12240" w:h="15840"/>
      <w:pgMar w:top="1080" w:right="893" w:bottom="1440" w:left="893" w:header="432"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Stress-Testing Cross-Participant PAC Forecasting for Adaptive 40 Hz Auditory Entrainment</dc:title>
  <dc:subject>MIT URTC technical paper manuscript</dc:subject>
  <dc:creator>Amaar M. Chughtai</dc:creator>
  <cp:keywords>auditory entrainment, phase-amplitude coupling, EEG, temporal convolutional network, adaptive stimulation, retrospective replay</cp:keywords>
  <dc:description>Generated from audited repository evidence.</dc:description>
  <cp:lastModifiedBy/>
  <cp:revision>1</cp:revision>
  <dcterms:created xsi:type="dcterms:W3CDTF">2013-12-23T23:15:00Z</dcterms:created>
  <dcterms:modified xsi:type="dcterms:W3CDTF">2013-12-23T23:15:00Z</dcterms:modified>
  <cp:category/>
</cp:coreProperties>
</file>