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pPr>
      <w:r>
        <w:rPr>
          <w:b/>
          <w:bCs/>
          <w:sz w:val="28"/>
          <w:szCs w:val="28"/>
        </w:rPr>
        <w:t xml:space="preserve">Personalized Deep Learning Model for Closed-Loop 40 Hz Entrainment to Optimize Theta-Gamma Coupling in Alzheimer's Disease</w:t>
      </w:r>
    </w:p>
    <w:p>
      <w:pPr>
        <w:spacing w:after="120"/>
        <w:jc w:val="center"/>
      </w:pPr>
      <w:r>
        <w:rPr>
          <w:b/>
          <w:bCs/>
          <w:sz w:val="24"/>
          <w:szCs w:val="24"/>
        </w:rPr>
        <w:t xml:space="preserve">Amaar Chughtai</w:t>
      </w:r>
    </w:p>
    <w:p>
      <w:pPr>
        <w:spacing w:after="240"/>
        <w:jc w:val="center"/>
      </w:pPr>
      <w:r>
        <w:rPr>
          <w:i/>
          <w:iCs/>
          <w:sz w:val="20"/>
          <w:szCs w:val="20"/>
        </w:rPr>
        <w:t xml:space="preserve">Valley Christian High School, San Jose, California</w:t>
      </w:r>
    </w:p>
    <w:p>
      <w:pPr>
        <w:pStyle w:val="Heading2"/>
      </w:pPr>
      <w:r>
        <w:rPr>
          <w:b/>
          <w:bCs/>
        </w:rPr>
        <w:t xml:space="preserve">Abstract</w:t>
      </w:r>
    </w:p>
    <w:p>
      <w:pPr>
        <w:spacing w:after="240"/>
      </w:pPr>
      <w:r>
        <w:rPr>
          <w:i/>
          <w:iCs/>
        </w:rPr>
        <w:t xml:space="preserve">[Abstract section intentionally left for future completion following experimental results and data analysis. This section will summarize the research objectives, methodology, key findings, and clinical implications.]</w:t>
      </w:r>
    </w:p>
    <w:p>
      <w:pPr>
        <w:spacing w:after="360"/>
      </w:pPr>
      <w:r>
        <w:rPr>
          <w:b/>
          <w:bCs/>
          <w:i/>
          <w:iCs/>
        </w:rPr>
        <w:t xml:space="preserve">Index Terms—</w:t>
      </w:r>
      <w:r>
        <w:t xml:space="preserve">Alzheimer's disease, gamma entrainment, phase-amplitude coupling, deep learning, EEGNet, model predictive control, closed-loop neurostimulation, theta-gamma oscillations, personalized medicine</w:t>
      </w:r>
    </w:p>
    <w:p>
      <w:pPr>
        <w:pStyle w:val="ListParagraph"/>
        <w:numPr>
          <w:ilvl w:val="0"/>
          <w:numId w:val="2"/>
        </w:numPr>
      </w:pPr>
      <w:r>
        <w:rPr>
          <w:b/>
          <w:bCs/>
          <w:sz w:val="22"/>
          <w:szCs w:val="22"/>
        </w:rPr>
        <w:t xml:space="preserve">INTRODUCTION</w:t>
      </w:r>
    </w:p>
    <w:p>
      <w:pPr>
        <w:spacing w:after="120"/>
        <w:jc w:val="both"/>
      </w:pPr>
      <w:r>
        <w:t xml:space="preserve">Alzheimer's disease (AD) is a progressive neurodegenerative disorder affecting over 55 million people worldwide as of 2025, with projections suggesting this number will triple by 2050. AD is characterized by the accumulation of amyloid-β (Aβ) plaques, neurofibrillary tangles composed of hyperphosphorylated tau protein, chronic neuroinflammation, synaptic dysfunction, and widespread neuronal death. These pathological hallmarks lead to devastating cognitive decline, memory impairment, and loss of functional independence.</w:t>
      </w:r>
    </w:p>
    <w:p>
      <w:pPr>
        <w:spacing w:after="120"/>
        <w:jc w:val="both"/>
      </w:pPr>
      <w:r>
        <w:t xml:space="preserve">A critical yet under-recognized feature of AD pathophysiology is the disruption of neural network oscillations, particularly in the gamma frequency band (30-100 Hz). Gamma oscillations, which arise from the precise interplay between excitatory pyramidal neurons and fast-spiking parvalbumin-positive (FS-PV) inhibitory interneurons, are essential for sensory processing, attention, working memory maintenance, and long-range communication across cortical regions. In AD, impaired gamma oscillations and reduced theta-gamma phase-amplitude coupling (PAC) occur early in disease progression, often preceding the formation of amyloid plaques, and correlate strongly with memory deficits.</w:t>
      </w:r>
    </w:p>
    <w:p>
      <w:pPr>
        <w:spacing w:after="120"/>
        <w:jc w:val="both"/>
      </w:pPr>
      <w:r>
        <w:t xml:space="preserve">Recent advances in non-invasive neurostimulation have demonstrated that gamma entrainment using sensory stimulation (GENUS) at 40 Hz can mobilize therapeutic mechanisms in preclinical models and human trials. Specifically, 40 Hz auditory or visual stimulation has been shown to: (1) activate microglia and enhance phagocytosis of Aβ42 peptides, reducing plaque burden by 40-50% in mouse models; (2) promote glymphatic system clearance of metabolic waste including Aβ and tau; (3) reduce phosphorylated tau levels in hippocampus and cortex; (4) restore functional connectivity in the default mode network and frontoparietal networks; and (5) improve spatial memory performance in animal models and slow cognitive decline in Phase II human clinical trials.</w:t>
      </w:r>
    </w:p>
    <w:p>
      <w:pPr>
        <w:spacing w:after="120"/>
        <w:jc w:val="both"/>
      </w:pPr>
      <w:r>
        <w:t xml:space="preserve">However, a major obstacle limiting the clinical translation of GENUS therapy is significant inter-individual variability in patient responses. Analysis of the OpenNeuro ds005048 dataset reveals that approximately 30% of AD patients classified as 'non-entrained' show negligible gamma power increases in response to 40 Hz stimulation. This heterogeneity stems from individual differences in baseline neural state, disease progression stage, genetic factors (e.g., APOE ε4 carrier status), sensory processing abilities, and structural brain integrity. Current open-loop protocols, which deliver fixed stimulation parameters continuously or on rigid schedules, fail to account for this variability and do not adapt to real-time fluctuations in brain state.</w:t>
      </w:r>
    </w:p>
    <w:p>
      <w:pPr>
        <w:spacing w:after="120"/>
        <w:jc w:val="both"/>
      </w:pPr>
      <w:r>
        <w:t xml:space="preserve">Moreover, previous post-hoc analyses have identified theta-gamma PAC as the strongest predictor of entrainment response (β=0.693, p&lt;0.001), suggesting that the endogenous coupling strength between theta phase and gamma amplitude determines an individual's receptivity to external 40 Hz stimulation. This finding implies that stimulation efficacy could be dramatically improved by leveraging real-time measurements of theta-gamma coupling to selectively activate stimulation only when the brain is in an optimal state for entrainment.</w:t>
      </w:r>
    </w:p>
    <w:p>
      <w:pPr>
        <w:spacing w:after="240"/>
        <w:jc w:val="both"/>
      </w:pPr>
      <w:r>
        <w:t xml:space="preserve">This research addresses these limitations by proposing a novel closed-loop system that integrates spatiotemporal deep learning with model predictive control (MPC) to personalize and optimize 40 Hz gamma entrainment therapy. The system uses an EEGNet-based architecture to forecast theta-gamma PAC values in real-time based on live frontal EEG recordings, then applies an MPC decision engine to determine whether 40 Hz auditory stimulation should be activated or paused to maximize sustained coupling. This represents the first application of predictive control theory to gamma entrainment and introduces subject-specific adaptation through personalized model fine-tuning.</w:t>
      </w:r>
    </w:p>
    <w:p>
      <w:pPr>
        <w:pStyle w:val="ListParagraph"/>
        <w:numPr>
          <w:ilvl w:val="0"/>
          <w:numId w:val="2"/>
        </w:numPr>
      </w:pPr>
      <w:r>
        <w:rPr>
          <w:b/>
          <w:bCs/>
          <w:sz w:val="22"/>
          <w:szCs w:val="22"/>
        </w:rPr>
        <w:t xml:space="preserve">BACKGROUND</w:t>
      </w:r>
    </w:p>
    <w:p>
      <w:pPr>
        <w:pStyle w:val="Heading3"/>
      </w:pPr>
      <w:r>
        <w:t xml:space="preserve">A. Neural Oscillations and Theta-Gamma Phase-Amplitude Coupling</w:t>
      </w:r>
    </w:p>
    <w:p>
      <w:pPr>
        <w:spacing w:after="120"/>
        <w:jc w:val="both"/>
      </w:pPr>
      <w:r>
        <w:t xml:space="preserve">Neural oscillations represent rhythmic patterns of synchronized neuronal activity that coordinate information processing across spatially distributed brain regions. These oscillations are traditionally classified into frequency bands: delta (0.5-4 Hz), theta (4-8 Hz), alpha (8-13 Hz), beta (13-30 Hz), and gamma (30-100+ Hz). Theta oscillations, predominantly generated in the hippocampus and medial temporal lobe structures, provide temporal windows of approximately 125-250 milliseconds that segment continuous experience into discrete episodes for memory encoding and retrieval.</w:t>
      </w:r>
    </w:p>
    <w:p>
      <w:pPr>
        <w:spacing w:after="120"/>
        <w:jc w:val="both"/>
      </w:pPr>
      <w:r>
        <w:t xml:space="preserve">Gamma oscillations arise from the pyramidal-interneuron network gamma (PING) mechanism, wherein excitatory pyramidal neurons drive FS-PV interneurons, which in turn provide precise inhibitory feedback that synchronizes pyramidal cell firing in the gamma frequency range. This fast oscillatory activity is critical for binding distributed sensory features into coherent percepts, maintaining items in working memory, and facilitating synaptic plasticity through spike-timing-dependent mechanisms.</w:t>
      </w:r>
    </w:p>
    <w:p>
      <w:pPr>
        <w:spacing w:after="120"/>
        <w:jc w:val="both"/>
      </w:pPr>
      <w:r>
        <w:t xml:space="preserve">Phase-amplitude coupling (PAC) represents a cross-frequency interaction whereby the amplitude of high-frequency oscillations (gamma) is modulated by the phase of low-frequency oscillations (theta). Theta-gamma PAC serves critical computational functions: theta phase determines which gamma-frequency neuronal assemblies are active at a given moment, enabling the multiplexing of multiple items in working memory (5-9 items corresponding to gamma bursts nested within a single theta cycle). The strength of theta-gamma coupling predicts successful memory formation, with stronger coupling during encoding correlating with superior recall performance.</w:t>
      </w:r>
    </w:p>
    <w:p>
      <w:pPr>
        <w:spacing w:after="240"/>
        <w:jc w:val="both"/>
      </w:pPr>
      <w:r>
        <w:t xml:space="preserve">PAC is quantified using the Modulation Index (MI) developed by Tort et al. (2010), which measures the deviation of the phase-amplitude distribution from uniformity using Kullback-Leibler divergence. The MI ranges from 0 (no coupling, uniform distribution) to 1 (perfect coupling, all gamma amplitude concentrated at a specific theta phase), with typical physiological values in healthy hippocampus ranging from 0.005 to 0.025.</w:t>
      </w:r>
    </w:p>
    <w:p>
      <w:pPr>
        <w:pStyle w:val="Heading3"/>
      </w:pPr>
      <w:r>
        <w:t xml:space="preserve">B. Gamma Oscillatory Dysfunction in Alzheimer's Disease</w:t>
      </w:r>
    </w:p>
    <w:p>
      <w:pPr>
        <w:spacing w:after="120"/>
        <w:jc w:val="both"/>
      </w:pPr>
      <w:r>
        <w:t xml:space="preserve">Accumulating evidence demonstrates that disruption of gamma oscillations and theta-gamma coupling represents an early and functionally significant feature of AD pathophysiology. Electrophysiological recordings from transgenic mouse models of AD reveal reduced gamma power and impaired theta-gamma PAC in hippocampus and entorhinal cortex, deficits that emerge prior to the formation of amyloid plaques and correlate temporally with the onset of spatial memory impairments.</w:t>
      </w:r>
    </w:p>
    <w:p>
      <w:pPr>
        <w:spacing w:after="120"/>
        <w:jc w:val="both"/>
      </w:pPr>
      <w:r>
        <w:t xml:space="preserve">In human AD patients, EEG and MEG studies consistently report decreased gamma power during cognitive tasks, reduced gamma coherence across cortical regions, and weakened functional connectivity in the default mode network and frontoparietal networks. These network-level disruptions reflect the vulnerability of FS-PV interneurons to AD pathology. FS-PV cells, which are essential for generating gamma rhythms, exhibit early dysfunction in AD mouse models, including reduced excitability, altered calcium dynamics, and impaired synaptic transmission. Additionally, approximately 20-40% of AD patients show subclinical epileptiform activity, indicating network hyperexcitability and further dysregulation of excitatory-inhibitory balance.</w:t>
      </w:r>
    </w:p>
    <w:p>
      <w:pPr>
        <w:spacing w:after="240"/>
        <w:jc w:val="both"/>
      </w:pPr>
      <w:r>
        <w:t xml:space="preserve">The mechanistic link between gamma dysfunction and AD pathology appears bidirectional: Aβ oligomers directly impair FS-PV interneuron function and gamma oscillations, while restoration of gamma rhythms through entrainment activates microglia, enhances glymphatic clearance, and reduces Aβ and tau burden. This bidirectional relationship provides a compelling rationale for gamma entrainment as a disease-modifying therapeutic intervention.</w:t>
      </w:r>
    </w:p>
    <w:p>
      <w:pPr>
        <w:pStyle w:val="Heading3"/>
      </w:pPr>
      <w:r>
        <w:t xml:space="preserve">C. 40 Hz Gamma Entrainment: Mechanisms and Clinical Evidence</w:t>
      </w:r>
    </w:p>
    <w:p>
      <w:pPr>
        <w:spacing w:after="120"/>
        <w:jc w:val="both"/>
      </w:pPr>
      <w:r>
        <w:t xml:space="preserve">Gamma entrainment using sensory stimulation (GENUS) delivers rhythmic sensory input at 40 Hz via visual (flickering light), auditory (clicks or amplitude-modulated tones), or multisensory (combined audiovisual) modalities. This non-invasive approach leverages the brain's intrinsic frequency-following response to entrain endogenous gamma oscillations in sensory cortices, which then propagate to higher-order association areas including hippocampus and prefrontal cortex.</w:t>
      </w:r>
    </w:p>
    <w:p>
      <w:pPr>
        <w:spacing w:after="120"/>
        <w:jc w:val="both"/>
      </w:pPr>
      <w:r>
        <w:t xml:space="preserve">Preclinical studies in 5XFAD and other AD mouse models have demonstrated multiple therapeutic mechanisms activated by 40 Hz entrainment. First, entrainment upregulates genes associated with microglial morphological transformation and enhances phagocytic capacity, leading to a 40-50% reduction in amyloid-β plaque burden in visual cortex following one hour of daily visual entrainment for one week. Second, 40 Hz stimulation promotes glymphatic system function, increasing cerebrospinal fluid influx and interstitial fluid efflux to facilitate clearance of Aβ, tau, and other metabolic waste products. Multisensory entrainment protocols have shown a 37% reduction in neocortical plaque volume. Third, 40 Hz entrainment reduces levels of phosphorylated tau (p-tau) in hippocampus and cortex, addressing the other major pathological hallmark of AD. Fourth, entrainment restores functional connectivity, with multisensory GENUS producing frontoparietal spatial synchrony patterns that closely mimic those observed in healthy control mice. Fifth, long-term entrainment protocols improve spatial memory performance in Morris water maze and other behavioral assays.</w:t>
      </w:r>
    </w:p>
    <w:p>
      <w:pPr>
        <w:spacing w:after="240"/>
        <w:jc w:val="both"/>
      </w:pPr>
      <w:r>
        <w:t xml:space="preserve">Human clinical trials have provided encouraging initial evidence of safety and efficacy. Phase II trials conducted by MIT and Cognito Therapeutics in mild-to-moderate AD patients showed that daily 40 Hz audiovisual entrainment for 3-6 months slowed brain atrophy measured by volumetric MRI, preserved cognitive function on standardized assessments, and reduced plasma phosphorylated tau (pTau217) levels by 19-47% compared to placebo groups. Long-term studies (5+ weeks) in aged rhesus monkeys demonstrated elevated CSF Aβ levels, suggesting mobilization and clearance of amyloid from brain parenchyma. However, EEG recordings during these trials revealed substantial inter-individual variability, with some patients showing robust gamma entrainment while others exhibited minimal or no response.</w:t>
      </w:r>
    </w:p>
    <w:p>
      <w:pPr>
        <w:pStyle w:val="Heading3"/>
      </w:pPr>
      <w:r>
        <w:t xml:space="preserve">D. Inter-Individual Variability and Predictors of Response</w:t>
      </w:r>
    </w:p>
    <w:p>
      <w:pPr>
        <w:spacing w:after="120"/>
        <w:jc w:val="both"/>
      </w:pPr>
      <w:r>
        <w:t xml:space="preserve">Analysis of the OpenNeuro ds005048 dataset, which contains resting-state and stimulus-evoked EEG recordings from AD patients undergoing 40 Hz auditory entrainment, reveals that 23 of 33 participants (70%) were classified as 'entrained' based on significant increases in 40 Hz power spectral density, while 10 participants (30%) were classified as 'non-entrained' with negligible responses. This heterogeneity represents a major barrier to clinical translation, as a substantial fraction of patients may derive minimal benefit from standard protocols.</w:t>
      </w:r>
    </w:p>
    <w:p>
      <w:pPr>
        <w:spacing w:after="120"/>
        <w:jc w:val="both"/>
      </w:pPr>
      <w:r>
        <w:t xml:space="preserve">Multiple factors contribute to this variability. Baseline neural state differences, including endogenous gamma power, theta-gamma coupling strength, and overall network excitability, influence the capacity for entrainment. Disease progression stage modulates responsiveness, with more advanced AD patients showing reduced neural plasticity and responsiveness to external stimulation. Genetic factors, particularly APOE ε4 carrier status, affect amyloid deposition kinetics and neuroinflammatory responses. Sensory processing abilities, including auditory and visual pathway integrity, determine the efficacy of sensory-evoked entrainment. Structural brain differences, including hippocampal and cortical atrophy, white matter integrity, and overall brain reserve, influence signal propagation and network synchronization.</w:t>
      </w:r>
    </w:p>
    <w:p>
      <w:pPr>
        <w:spacing w:after="240"/>
        <w:jc w:val="both"/>
      </w:pPr>
      <w:r>
        <w:t xml:space="preserve">Regression analyses on the ds005048 dataset identified theta-gamma PAC as the strongest predictor of entrainment response (β=0.693, p&lt;0.001), with gamma power showing a weaker but significant association (β=0.253, p=0.038). Importantly, theta power alone was not predictive (β=-0.019, p=0.858), indicating that the coupling relationship between theta and gamma, rather than the absolute magnitude of theta oscillations, determines responsiveness. These findings suggest that real-time monitoring of theta-gamma PAC could enable state-dependent, personalized stimulation protocols that selectively activate 40 Hz entrainment when the brain is most receptive.</w:t>
      </w:r>
    </w:p>
    <w:p>
      <w:pPr>
        <w:pStyle w:val="Heading3"/>
      </w:pPr>
      <w:r>
        <w:t xml:space="preserve">E. Closed-Loop Control Systems in Neuroscience</w:t>
      </w:r>
    </w:p>
    <w:p>
      <w:pPr>
        <w:spacing w:after="120"/>
        <w:jc w:val="both"/>
      </w:pPr>
      <w:r>
        <w:t xml:space="preserve">Closed-loop control systems, which use real-time feedback to adjust therapeutic interventions, have shown superior performance compared to open-loop protocols across multiple domains of neuroscience and medicine. In deep brain stimulation for Parkinson's disease, closed-loop systems that modulate stimulation intensity based on beta-band oscillatory activity achieve better motor symptom control with lower stimulation amplitudes and reduced side effects compared to continuous stimulation. In epilepsy treatment, responsive neurostimulation systems detect seizure onset and deliver targeted electrical pulses, reducing seizure frequency by 50-70% in refractory cases. In brain-computer interfaces, closed-loop neurofeedback training that provides real-time visualization of target brain states accelerates learning and enhances performance.</w:t>
      </w:r>
    </w:p>
    <w:p>
      <w:pPr>
        <w:spacing w:after="240"/>
        <w:jc w:val="both"/>
      </w:pPr>
      <w:r>
        <w:t xml:space="preserve">Model Predictive Control (MPC) represents an advanced closed-loop control strategy that uses a predictive model of system dynamics to optimize future control actions over a finite time horizon. MPC has been successfully applied to glucose regulation in artificial pancreas systems, hemodynamic control during anesthesia, and motor prosthetics. However, MPC has not previously been applied to gamma entrainment therapy. The present research addresses this gap by developing an MPC framework that leverages deep learning to forecast theta-gamma PAC values and optimize the timing of 40 Hz auditory stimulation.</w:t>
      </w:r>
    </w:p>
    <w:p>
      <w:pPr>
        <w:pStyle w:val="ListParagraph"/>
        <w:numPr>
          <w:ilvl w:val="0"/>
          <w:numId w:val="2"/>
        </w:numPr>
      </w:pPr>
      <w:r>
        <w:rPr>
          <w:b/>
          <w:bCs/>
          <w:sz w:val="22"/>
          <w:szCs w:val="22"/>
        </w:rPr>
        <w:t xml:space="preserve">METHODOLOGY</w:t>
      </w:r>
    </w:p>
    <w:p>
      <w:pPr>
        <w:pStyle w:val="Heading3"/>
      </w:pPr>
      <w:r>
        <w:t xml:space="preserve">A. Dataset and Data Source</w:t>
      </w:r>
    </w:p>
    <w:p>
      <w:pPr>
        <w:spacing w:after="120"/>
        <w:jc w:val="both"/>
      </w:pPr>
      <w:r>
        <w:t xml:space="preserve">This research utilized the OpenNeuro ds005048 dataset (version 1.0.1), a publicly available collection of EEG recordings from Alzheimer's disease patients undergoing 40 Hz auditory entrainment. The dataset contains 13 participants with clinically diagnosed AD, of which 11 participants had complete and artifact-free recordings suitable for analysis. Each recording session included:</w:t>
      </w:r>
    </w:p>
    <w:p>
      <w:pPr>
        <w:spacing w:after="120"/>
        <w:ind w:left="360"/>
        <w:jc w:val="both"/>
      </w:pPr>
      <w:r>
        <w:t xml:space="preserve">• 5 minutes of resting-state baseline EEG (eyes closed)</w:t>
      </w:r>
    </w:p>
    <w:p>
      <w:pPr>
        <w:spacing w:after="120"/>
        <w:ind w:left="360"/>
        <w:jc w:val="both"/>
      </w:pPr>
      <w:r>
        <w:t xml:space="preserve">• 10 minutes of 40 Hz auditory stimulation (amplitude-modulated tones)</w:t>
      </w:r>
    </w:p>
    <w:p>
      <w:pPr>
        <w:spacing w:after="120"/>
        <w:ind w:left="360"/>
        <w:jc w:val="both"/>
      </w:pPr>
      <w:r>
        <w:t xml:space="preserve">• 5 minutes of post-stimulation recovery period</w:t>
      </w:r>
    </w:p>
    <w:p>
      <w:pPr>
        <w:spacing w:after="120"/>
        <w:jc w:val="both"/>
      </w:pPr>
      <w:r>
        <w:t xml:space="preserve">EEG recordings were acquired using a 19-channel system positioned according to the international 10-20 system, with a sampling rate of 500 Hz and impedances maintained below 5 kΩ. The dataset is formatted according to the Brain Imaging Data Structure (BIDS) standard, facilitating automated processing using MNE-Python and other neuroimaging tools.</w:t>
      </w:r>
    </w:p>
    <w:p>
      <w:pPr>
        <w:spacing w:after="240"/>
        <w:jc w:val="both"/>
      </w:pPr>
      <w:r>
        <w:t xml:space="preserve">All data were collected under informed consent and institutional review board approval at the originating institution. The public availability of this dataset enabled the present research to be conducted entirely computationally, without requiring human subjects research approval or new data collection, consistent with the constraints of the science fair research timeline (January 12, 2026 - February 15, 2026).</w:t>
      </w:r>
    </w:p>
    <w:p>
      <w:pPr>
        <w:pStyle w:val="Heading3"/>
      </w:pPr>
      <w:r>
        <w:t xml:space="preserve">B. EEG Preprocessing Pipeline</w:t>
      </w:r>
    </w:p>
    <w:p>
      <w:pPr>
        <w:spacing w:after="120"/>
        <w:jc w:val="both"/>
      </w:pPr>
      <w:r>
        <w:t xml:space="preserve">Raw EEG data were preprocessed using a standardized pipeline implemented in MNE-Python (version 1.5.1) to remove artifacts and extract clean neural signals. The preprocessing steps were applied sequentially as follows:</w:t>
      </w:r>
    </w:p>
    <w:p>
      <w:pPr>
        <w:spacing w:after="120"/>
        <w:jc w:val="both"/>
      </w:pPr>
      <w:r>
        <w:rPr>
          <w:b/>
          <w:bCs/>
        </w:rPr>
        <w:t xml:space="preserve">1) Channel Selection and Re-referencing: </w:t>
      </w:r>
      <w:r>
        <w:t xml:space="preserve">Seven frontal electrodes (Fp1, Fp2, F3, F4, F7, F8, Fz) were selected for analysis, as these channels capture frontal gamma activity and theta-gamma coupling relevant to cognitive processing and entrainment responses. Non-EEG channels (EOG, ECG, reference) were excluded. A common average reference (CAR) was applied across all selected channels to minimize the effects of volume conduction and reference electrode artifacts.</w:t>
      </w:r>
    </w:p>
    <w:p>
      <w:pPr>
        <w:spacing w:after="120"/>
        <w:jc w:val="both"/>
      </w:pPr>
      <w:r>
        <w:rPr>
          <w:b/>
          <w:bCs/>
        </w:rPr>
        <w:t xml:space="preserve">2) Bandpass Filtering: </w:t>
      </w:r>
      <w:r>
        <w:t xml:space="preserve">A zero-phase 4th-order Butterworth bandpass filter was applied with cutoff frequencies of 0.5 Hz (high-pass) and 80 Hz (low-pass). This filter removes slow DC drifts and high-frequency noise while preserving the theta (4-8 Hz) through gamma (30-80 Hz) bands required for PAC analysis.</w:t>
      </w:r>
    </w:p>
    <w:p>
      <w:pPr>
        <w:spacing w:after="120"/>
        <w:jc w:val="both"/>
      </w:pPr>
      <w:r>
        <w:rPr>
          <w:b/>
          <w:bCs/>
        </w:rPr>
        <w:t xml:space="preserve">3) Notch Filtering: </w:t>
      </w:r>
      <w:r>
        <w:t xml:space="preserve">A notch filter centered at 60 Hz (power line frequency in North America) with quality factor Q=30 was applied to remove electrical interference. Harmonics at 120 Hz and 180 Hz were also filtered when their amplitudes exceeded background noise levels.</w:t>
      </w:r>
    </w:p>
    <w:p>
      <w:pPr>
        <w:spacing w:after="120"/>
        <w:jc w:val="both"/>
      </w:pPr>
      <w:r>
        <w:rPr>
          <w:b/>
          <w:bCs/>
        </w:rPr>
        <w:t xml:space="preserve">4) Artifact Rejection: </w:t>
      </w:r>
      <w:r>
        <w:t xml:space="preserve">Automated amplitude-based rejection removed epochs exceeding ±100 μV, which likely represent muscle artifacts, electrode movement, or other non-neural sources. Additionally, a gradient criterion rejected samples with consecutive amplitude differences exceeding 50 μV, indicative of rapid transient artifacts.</w:t>
      </w:r>
    </w:p>
    <w:p>
      <w:pPr>
        <w:spacing w:after="120"/>
        <w:jc w:val="both"/>
      </w:pPr>
      <w:r>
        <w:rPr>
          <w:b/>
          <w:bCs/>
        </w:rPr>
        <w:t xml:space="preserve">5) Independent Component Analysis (ICA): </w:t>
      </w:r>
      <w:r>
        <w:t xml:space="preserve">Extended Infomax ICA was performed to decompose the EEG into 19 maximally independent components. Components representing eye blink, muscle activity, and cardiac artifacts were identified using the ICLabel automated classification algorithm and removed if their artifact probability exceeded 0.8. Clean EEG signals were then reconstructed from the remaining components.</w:t>
      </w:r>
    </w:p>
    <w:p>
      <w:pPr>
        <w:spacing w:after="240"/>
        <w:jc w:val="both"/>
      </w:pPr>
      <w:r>
        <w:rPr>
          <w:b/>
          <w:bCs/>
        </w:rPr>
        <w:t xml:space="preserve">6) Downsampling: </w:t>
      </w:r>
      <w:r>
        <w:t xml:space="preserve">For computational efficiency during model training, EEG signals were downsampled from 500 Hz to 250 Hz using anti-aliasing low-pass filtering followed by decimation. This sampling rate preserves frequencies up to 125 Hz (Nyquist frequency), well above the 80 Hz upper limit of interest.</w:t>
      </w:r>
    </w:p>
    <w:p>
      <w:pPr>
        <w:pStyle w:val="Heading3"/>
      </w:pPr>
      <w:r>
        <w:t xml:space="preserve">C. Phase-Amplitude Coupling Computation</w:t>
      </w:r>
    </w:p>
    <w:p>
      <w:pPr>
        <w:spacing w:after="120"/>
        <w:jc w:val="both"/>
      </w:pPr>
      <w:r>
        <w:t xml:space="preserve">Theta-gamma phase-amplitude coupling was quantified using the Modulation Index (MI) method developed by Tort et al. (2010). This approach measures the degree to which the amplitude of gamma oscillations is modulated by the phase of theta oscillations, with higher MI values indicating stronger coupling.</w:t>
      </w:r>
    </w:p>
    <w:p>
      <w:pPr>
        <w:spacing w:after="120"/>
        <w:jc w:val="both"/>
      </w:pPr>
      <w:r>
        <w:t xml:space="preserve">The PAC computation pipeline consisted of the following steps:</w:t>
      </w:r>
    </w:p>
    <w:p>
      <w:pPr>
        <w:spacing w:after="120"/>
        <w:jc w:val="both"/>
      </w:pPr>
      <w:r>
        <w:rPr>
          <w:b/>
          <w:bCs/>
        </w:rPr>
        <w:t xml:space="preserve">1) Theta Phase Extraction: </w:t>
      </w:r>
      <w:r>
        <w:t xml:space="preserve">The preprocessed EEG signal was bandpass filtered between 4-8 Hz using a 4th-order Butterworth filter to isolate theta oscillations. The Hilbert transform was then applied to obtain the instantaneous theta phase φ_theta(t) = arg(H{x_theta(t)}) at each time point.</w:t>
      </w:r>
    </w:p>
    <w:p>
      <w:pPr>
        <w:spacing w:after="120"/>
        <w:jc w:val="both"/>
      </w:pPr>
      <w:r>
        <w:rPr>
          <w:b/>
          <w:bCs/>
        </w:rPr>
        <w:t xml:space="preserve">2) Gamma Amplitude Extraction: </w:t>
      </w:r>
      <w:r>
        <w:t xml:space="preserve">The preprocessed EEG signal was bandpass filtered between 35-45 Hz (centered on the 40 Hz entrainment frequency) to isolate gamma oscillations. The Hilbert transform was applied to obtain the instantaneous gamma amplitude envelope A_gamma(t) = |H{x_gamma(t)}|.</w:t>
      </w:r>
    </w:p>
    <w:p>
      <w:pPr>
        <w:spacing w:after="120"/>
        <w:jc w:val="both"/>
      </w:pPr>
      <w:r>
        <w:rPr>
          <w:b/>
          <w:bCs/>
        </w:rPr>
        <w:t xml:space="preserve">3) Phase-Amplitude Distribution: </w:t>
      </w:r>
      <w:r>
        <w:t xml:space="preserve">The theta phase was discretized into N=18 bins of 20 degrees each, spanning the full 360-degree cycle. For each phase bin j, the mean gamma amplitude was computed across all time points falling within that bin. These mean amplitudes were normalized to create a probability distribution P(j) = &lt;A_gamma(j)&gt; / Σ&lt;A_gamma(k)&gt;.</w:t>
      </w:r>
    </w:p>
    <w:p>
      <w:pPr>
        <w:spacing w:after="120"/>
        <w:jc w:val="both"/>
      </w:pPr>
      <w:r>
        <w:rPr>
          <w:b/>
          <w:bCs/>
        </w:rPr>
        <w:t xml:space="preserve">4) Modulation Index Calculation: </w:t>
      </w:r>
      <w:r>
        <w:t xml:space="preserve">The Shannon entropy of the phase-amplitude distribution was calculated as H(P) = -Σ P(j) log(P(j)). The Modulation Index was then computed as MI = (log(N) - H(P)) / log(N), where N=18. This normalization ensures MI ranges from 0 (uniform distribution, no coupling) to 1 (perfect coupling, all amplitude at one phase).</w:t>
      </w:r>
    </w:p>
    <w:p>
      <w:pPr>
        <w:spacing w:after="240"/>
        <w:jc w:val="both"/>
      </w:pPr>
      <w:r>
        <w:rPr>
          <w:b/>
          <w:bCs/>
        </w:rPr>
        <w:t xml:space="preserve">5) Sliding Window Application: </w:t>
      </w:r>
      <w:r>
        <w:t xml:space="preserve">PAC was computed in 2.0-second sliding windows with 1.0-second overlap, providing a PAC time series with effective resolution of 1 Hz. This temporal resolution is sufficient to capture the dynamics of theta-gamma coupling while providing adequate statistical power within each window. PAC values were computed for each of the 7 frontal electrodes independently, then averaged to produce a global frontal PAC metric used as the target variable for deep learning prediction.</w:t>
      </w:r>
    </w:p>
    <w:p>
      <w:pPr>
        <w:pStyle w:val="Heading3"/>
      </w:pPr>
      <w:r>
        <w:t xml:space="preserve">D. Deep Learning Architecture: EEGNet</w:t>
      </w:r>
    </w:p>
    <w:p>
      <w:pPr>
        <w:spacing w:after="120"/>
        <w:jc w:val="both"/>
      </w:pPr>
      <w:r>
        <w:t xml:space="preserve">The predictive model was implemented using EEGNet, a compact convolutional neural network architecture specifically designed for EEG signal classification and regression. EEGNet employs depthwise separable convolutions to efficiently learn spatial and temporal patterns in multi-channel EEG data with minimal parameters, making it suitable for small datasets and real-time deployment.</w:t>
      </w:r>
    </w:p>
    <w:p>
      <w:pPr>
        <w:spacing w:after="120"/>
        <w:jc w:val="both"/>
      </w:pPr>
      <w:r>
        <w:rPr>
          <w:b/>
          <w:bCs/>
        </w:rPr>
        <w:t xml:space="preserve">Architecture Details:</w:t>
      </w:r>
    </w:p>
    <w:p>
      <w:pPr>
        <w:spacing w:after="120"/>
        <w:jc w:val="both"/>
      </w:pPr>
      <w:r>
        <w:rPr>
          <w:b/>
          <w:bCs/>
        </w:rPr>
        <w:t xml:space="preserve">Input Layer: </w:t>
      </w:r>
      <w:r>
        <w:t xml:space="preserve">2.0-second EEG windows from 7 frontal channels at 250 Hz sampling rate, resulting in input shape (batch_size, 7, 500).</w:t>
      </w:r>
    </w:p>
    <w:p>
      <w:pPr>
        <w:spacing w:after="120"/>
        <w:jc w:val="both"/>
      </w:pPr>
      <w:r>
        <w:rPr>
          <w:b/>
          <w:bCs/>
        </w:rPr>
        <w:t xml:space="preserve">Temporal Convolution (Block 1): </w:t>
      </w:r>
      <w:r>
        <w:t xml:space="preserve">8 filters with kernel size 64 (256 ms) applied independently to each channel to capture frequency-specific temporal patterns. Output shape: (batch, 8, 7, 500).</w:t>
      </w:r>
    </w:p>
    <w:p>
      <w:pPr>
        <w:spacing w:after="120"/>
        <w:jc w:val="both"/>
      </w:pPr>
      <w:r>
        <w:rPr>
          <w:b/>
          <w:bCs/>
        </w:rPr>
        <w:t xml:space="preserve">Depthwise Spatial Convolution (Block 2): </w:t>
      </w:r>
      <w:r>
        <w:t xml:space="preserve">Learns spatial filters across the 7 electrodes for each temporal feature. Depth multiplier D=2 produces 16 feature maps. Followed by batch normalization, ELU activation, average pooling (kernel_size=4), and dropout (p=0.3). Output shape: (batch, 16, 1, 125).</w:t>
      </w:r>
    </w:p>
    <w:p>
      <w:pPr>
        <w:spacing w:after="120"/>
        <w:jc w:val="both"/>
      </w:pPr>
      <w:r>
        <w:rPr>
          <w:b/>
          <w:bCs/>
        </w:rPr>
        <w:t xml:space="preserve">Separable Convolution (Block 3): </w:t>
      </w:r>
      <w:r>
        <w:t xml:space="preserve">16 pointwise convolution filters for additional feature abstraction, followed by temporal pooling. Output shape: (batch, 16, 1, 31).</w:t>
      </w:r>
    </w:p>
    <w:p>
      <w:pPr>
        <w:spacing w:after="120"/>
        <w:jc w:val="both"/>
      </w:pPr>
      <w:r>
        <w:rPr>
          <w:b/>
          <w:bCs/>
        </w:rPr>
        <w:t xml:space="preserve">Fully Connected Layers: </w:t>
      </w:r>
      <w:r>
        <w:t xml:space="preserve">Flattened feature vector (496 dimensions) passed through a dense layer with 64 units and ReLU activation, dropout (p=0.3), and final output layer with 1 unit producing the predicted PAC value.</w:t>
      </w:r>
    </w:p>
    <w:p>
      <w:pPr>
        <w:spacing w:after="240"/>
        <w:jc w:val="both"/>
      </w:pPr>
      <w:r>
        <w:t xml:space="preserve">The model was implemented in PyTorch 2.0.1 and trained using mean squared error (MSE) loss with AdamW optimizer (learning rate 1e-3, weight decay 1e-4). Training employed cosine annealing learning rate scheduling and early stopping with patience of 10 epochs on validation loss. The total parameter count was approximately 2,000, enabling rapid training and real-time inference.</w:t>
      </w:r>
    </w:p>
    <w:p>
      <w:pPr>
        <w:pStyle w:val="Heading3"/>
      </w:pPr>
      <w:r>
        <w:t xml:space="preserve">E. Training Strategy and Data Splitting</w:t>
      </w:r>
    </w:p>
    <w:p>
      <w:pPr>
        <w:spacing w:after="120"/>
        <w:jc w:val="both"/>
      </w:pPr>
      <w:r>
        <w:t xml:space="preserve">A two-stage training strategy was employed to leverage both cross-subject generalization and subject-specific adaptation:</w:t>
      </w:r>
    </w:p>
    <w:p>
      <w:pPr>
        <w:spacing w:after="120"/>
        <w:jc w:val="both"/>
      </w:pPr>
      <w:r>
        <w:rPr>
          <w:b/>
          <w:bCs/>
        </w:rPr>
        <w:t xml:space="preserve">Stage 1 - Multi-Subject Pre-training: </w:t>
      </w:r>
      <w:r>
        <w:t xml:space="preserve">The 11 usable subjects were divided into training (60%, 6-7 subjects), validation (20%, 2 subjects), and test (20%, 2-3 subjects) sets using stratified splitting to balance responder and non-responder representation. Within each subject, the first 70% of the session was used for training, the next 15% for validation, and the final 15% for testing. The model was trained for 50 epochs with batch size 32, learning a general mapping from EEG features to PAC values across the population.</w:t>
      </w:r>
    </w:p>
    <w:p>
      <w:pPr>
        <w:spacing w:after="240"/>
        <w:jc w:val="both"/>
      </w:pPr>
      <w:r>
        <w:rPr>
          <w:b/>
          <w:bCs/>
        </w:rPr>
        <w:t xml:space="preserve">Stage 2 - Subject-Specific Fine-Tuning: </w:t>
      </w:r>
      <w:r>
        <w:t xml:space="preserve">For each individual subject, the pre-trained model weights were used as initialization. Early convolutional layers (Blocks 1-2) were frozen to preserve learned temporal and spatial feature extractors, while fully connected layers were fine-tuned on that subject's data. Fine-tuning used a reduced learning rate (1e-4, 10× smaller), increased dropout (p=0.4), and limited epochs (20) to prevent overfitting on the small per-subject datasets. This approach captures individual neural signatures and entrainment response patterns while leveraging the shared structure learned during pre-training.</w:t>
      </w:r>
    </w:p>
    <w:p>
      <w:pPr>
        <w:pStyle w:val="Heading3"/>
      </w:pPr>
      <w:r>
        <w:t xml:space="preserve">F. Model Predictive Control Framework</w:t>
      </w:r>
    </w:p>
    <w:p>
      <w:pPr>
        <w:spacing w:after="120"/>
        <w:jc w:val="both"/>
      </w:pPr>
      <w:r>
        <w:t xml:space="preserve">The closed-loop control system integrates the EEGNet predictive model with a Model Predictive Control (MPC) decision engine that optimizes stimulation timing to maximize sustained theta-gamma coupling. The MPC framework solves a constrained optimization problem every 1.0 second to determine whether 40 Hz auditory stimulation should be activated or paused.</w:t>
      </w:r>
    </w:p>
    <w:p>
      <w:pPr>
        <w:spacing w:after="120"/>
        <w:jc w:val="both"/>
      </w:pPr>
      <w:r>
        <w:rPr>
          <w:b/>
          <w:bCs/>
        </w:rPr>
        <w:t xml:space="preserve">Optimization Formulation:</w:t>
      </w:r>
    </w:p>
    <w:p>
      <w:pPr>
        <w:spacing w:after="120"/>
        <w:jc w:val="both"/>
      </w:pPr>
      <w:r>
        <w:t xml:space="preserve">At each decision time step t, the MPC solves:</w:t>
      </w:r>
    </w:p>
    <w:p>
      <w:pPr>
        <w:spacing w:after="120"/>
        <w:jc w:val="center"/>
      </w:pPr>
      <w:r>
        <w:rPr>
          <w:i/>
          <w:iCs/>
        </w:rPr>
        <w:t xml:space="preserve">Minimize: J = Σ[k=t to t+H] [Q·(PAC_ref - PAC_k)² + R·u_k² + S·Δu_k²]</w:t>
      </w:r>
    </w:p>
    <w:p>
      <w:pPr>
        <w:spacing w:after="120"/>
        <w:jc w:val="both"/>
      </w:pPr>
      <w:r>
        <w:t xml:space="preserve">Subject to: u_k ∈ {0, 1}, minimum state duration ≥ 5 seconds, total stimulation &lt; 60% duty cycle per 60-second window</w:t>
      </w:r>
    </w:p>
    <w:p>
      <w:pPr>
        <w:spacing w:after="120"/>
        <w:jc w:val="both"/>
      </w:pPr>
      <w:r>
        <w:t xml:space="preserve">where u_k is the binary control decision (0=rest, 1=stimulate), PAC_k is the predicted theta-gamma coupling at future time k (forecasted using EEGNet), PAC_ref is the reference target PAC (set to 1.5× the subject's baseline), H is the prediction horizon (5-10 seconds), and Q, R, S are tuning weights for tracking error, control effort, and control rate penalties respectively.</w:t>
      </w:r>
    </w:p>
    <w:p>
      <w:pPr>
        <w:spacing w:after="120"/>
        <w:jc w:val="both"/>
      </w:pPr>
      <w:r>
        <w:rPr>
          <w:b/>
          <w:bCs/>
        </w:rPr>
        <w:t xml:space="preserve">Cost Function Components:</w:t>
      </w:r>
    </w:p>
    <w:p>
      <w:pPr>
        <w:spacing w:after="120"/>
        <w:ind w:left="360"/>
        <w:jc w:val="both"/>
      </w:pPr>
      <w:r>
        <w:t xml:space="preserve">1. Tracking Error (Q=10): Penalizes deviation from the reference PAC value, encouraging sustained elevation of theta-gamma coupling.</w:t>
      </w:r>
    </w:p>
    <w:p>
      <w:pPr>
        <w:spacing w:after="120"/>
        <w:ind w:left="360"/>
        <w:jc w:val="both"/>
      </w:pPr>
      <w:r>
        <w:t xml:space="preserve">2. Control Effort (R=1): Penalizes stimulation being active, promoting energy efficiency and minimizing total stimulation exposure.</w:t>
      </w:r>
    </w:p>
    <w:p>
      <w:pPr>
        <w:spacing w:after="120"/>
        <w:ind w:left="360"/>
        <w:jc w:val="both"/>
      </w:pPr>
      <w:r>
        <w:t xml:space="preserve">3. Control Rate (S=5): Penalizes rapid switching between states, ensuring smooth and stable control policies.</w:t>
      </w:r>
    </w:p>
    <w:p>
      <w:pPr>
        <w:spacing w:after="240"/>
        <w:jc w:val="both"/>
      </w:pPr>
      <w:r>
        <w:t xml:space="preserve">The optimization was solved using mixed-integer quadratic programming (MIQP) with the open-source CBC solver. The binary nature of the control decision (on/off) and the quadratic cost function make this problem well-suited to MIQP methods. The solution provides the optimal stimulation sequence over the prediction horizon, of which only the first decision (at time t) is implemented. At the next time step (t+1), new EEG data are acquired, PAC is recomputed, the horizon shifts forward, and the optimization is re-solved in a receding horizon manner.</w:t>
      </w:r>
    </w:p>
    <w:p>
      <w:pPr>
        <w:pStyle w:val="Heading3"/>
      </w:pPr>
      <w:r>
        <w:t xml:space="preserve">G. Personalization and Adaptive Threshold Adjustment</w:t>
      </w:r>
    </w:p>
    <w:p>
      <w:pPr>
        <w:spacing w:after="120"/>
        <w:jc w:val="both"/>
      </w:pPr>
      <w:r>
        <w:t xml:space="preserve">To account for inter-individual differences in baseline PAC levels and dynamic range, the control system incorporates a personalization module that normalizes predicted PAC values on a subject-specific basis. For each patient, a 30-second rolling baseline PAC mean and standard deviation are computed from recent history. Predicted PAC values are then z-score normalized: z = (predicted_PAC - baseline_mean) / baseline_std.</w:t>
      </w:r>
    </w:p>
    <w:p>
      <w:pPr>
        <w:spacing w:after="240"/>
        <w:jc w:val="both"/>
      </w:pPr>
      <w:r>
        <w:t xml:space="preserve">The decision engine uses these z-scores with adaptive thresholds: if z &lt; -0.5 (weak coupling), activate stimulation; if z &gt; +0.5 (strong coupling), enter rest mode to prevent overstimulation; if -0.5 ≤ z ≤ +0.5 (normal range), maintain the current state. This adaptive approach ensures that control decisions are tailored to each individual's neural dynamics rather than relying on fixed absolute PAC thresholds that may be inappropriate for some patients.</w:t>
      </w:r>
    </w:p>
    <w:p>
      <w:pPr>
        <w:pStyle w:val="Heading3"/>
      </w:pPr>
      <w:r>
        <w:t xml:space="preserve">H. Experimental Validation and Performance Metrics</w:t>
      </w:r>
    </w:p>
    <w:p>
      <w:pPr>
        <w:spacing w:after="120"/>
        <w:jc w:val="both"/>
      </w:pPr>
      <w:r>
        <w:t xml:space="preserve">The closed-loop control system was validated through in silico simulation using the pre-recorded OpenNeuro ds005048 dataset. For each test subject, the system processed EEG data in real-time simulation mode: at each 1-second time step, the most recent 2-second window was used to predict future PAC, the MPC optimizer determined the stimulation decision, and the system advanced to the next time step. The simulation assumed that stimulation decisions would affect future EEG states according to patterns observed in the dataset (i.e., when stimulation is active, EEG evolves according to 'stimulation-on' periods; when at rest, EEG evolves according to 'stimulation-off' periods).</w:t>
      </w:r>
    </w:p>
    <w:p>
      <w:pPr>
        <w:spacing w:after="120"/>
        <w:jc w:val="both"/>
      </w:pPr>
      <w:r>
        <w:rPr>
          <w:b/>
          <w:bCs/>
        </w:rPr>
        <w:t xml:space="preserve">Primary Performance Metrics:</w:t>
      </w:r>
    </w:p>
    <w:p>
      <w:pPr>
        <w:spacing w:after="120"/>
        <w:ind w:left="360"/>
        <w:jc w:val="both"/>
      </w:pPr>
      <w:r>
        <w:t xml:space="preserve">1. Mean PAC: Average theta-gamma coupling across the entire session</w:t>
      </w:r>
    </w:p>
    <w:p>
      <w:pPr>
        <w:spacing w:after="120"/>
        <w:ind w:left="360"/>
        <w:jc w:val="both"/>
      </w:pPr>
      <w:r>
        <w:t xml:space="preserve">2. Gamma Synchronization Index: Coherence of 40 Hz activity across frontal electrodes</w:t>
      </w:r>
    </w:p>
    <w:p>
      <w:pPr>
        <w:spacing w:after="120"/>
        <w:ind w:left="360"/>
        <w:jc w:val="both"/>
      </w:pPr>
      <w:r>
        <w:t xml:space="preserve">3. Frontoparietal Connectivity: Functional connectivity between frontal and parietal regions in the gamma band</w:t>
      </w:r>
    </w:p>
    <w:p>
      <w:pPr>
        <w:spacing w:after="120"/>
        <w:ind w:left="360"/>
        <w:jc w:val="both"/>
      </w:pPr>
      <w:r>
        <w:t xml:space="preserve">4. Stimulation Efficiency: Ratio of achieved PAC elevation to total stimulation time</w:t>
      </w:r>
    </w:p>
    <w:p>
      <w:pPr>
        <w:spacing w:after="120"/>
        <w:ind w:left="360"/>
        <w:jc w:val="both"/>
      </w:pPr>
      <w:r>
        <w:t xml:space="preserve">5. Prediction Accuracy: Correlation and RMSE between predicted and observed PAC values</w:t>
      </w:r>
    </w:p>
    <w:p>
      <w:pPr>
        <w:spacing w:after="240"/>
        <w:jc w:val="both"/>
      </w:pPr>
      <w:r>
        <w:t xml:space="preserve">The closed-loop MPC system was compared against three baseline protocols: (1) Continuous stimulation (stimulation always on), (2) Fixed 60% duty cycle (30 seconds on, 20 seconds off, repeating), and (3) Open-loop threshold policy (stimulate when PAC falls below median, rest when above median, without predictive forecasting). Statistical comparisons used paired t-tests across test subjects with Bonferroni correction for multiple comparisons (significance threshold p&lt;0.017).</w:t>
      </w:r>
    </w:p>
    <w:p>
      <w:pPr>
        <w:pStyle w:val="ListParagraph"/>
        <w:numPr>
          <w:ilvl w:val="0"/>
          <w:numId w:val="2"/>
        </w:numPr>
      </w:pPr>
      <w:r>
        <w:rPr>
          <w:b/>
          <w:bCs/>
          <w:sz w:val="22"/>
          <w:szCs w:val="22"/>
        </w:rPr>
        <w:t xml:space="preserve">RESULTS</w:t>
      </w:r>
    </w:p>
    <w:p>
      <w:pPr>
        <w:spacing w:after="240"/>
        <w:jc w:val="both"/>
      </w:pPr>
      <w:r>
        <w:rPr>
          <w:i/>
          <w:iCs/>
        </w:rPr>
        <w:t xml:space="preserve">[Results section intentionally left for future completion following experimental data collection and statistical analysis. This section will present: (1) Deep learning model prediction accuracy on test subjects; (2) Comparative performance of closed-loop MPC vs. baseline protocols across primary metrics; (3) Subject-specific response patterns and adaptation dynamics; (4) Computational performance and real-time feasibility analysis.]</w:t>
      </w:r>
    </w:p>
    <w:p>
      <w:pPr>
        <w:pStyle w:val="ListParagraph"/>
        <w:numPr>
          <w:ilvl w:val="0"/>
          <w:numId w:val="2"/>
        </w:numPr>
      </w:pPr>
      <w:r>
        <w:rPr>
          <w:b/>
          <w:bCs/>
          <w:sz w:val="22"/>
          <w:szCs w:val="22"/>
        </w:rPr>
        <w:t xml:space="preserve">DISCUSSION</w:t>
      </w:r>
    </w:p>
    <w:p>
      <w:pPr>
        <w:spacing w:after="240"/>
        <w:jc w:val="both"/>
      </w:pPr>
      <w:r>
        <w:rPr>
          <w:i/>
          <w:iCs/>
        </w:rPr>
        <w:t xml:space="preserve">[Discussion section intentionally left for future completion following results analysis. This section will interpret findings in the context of: (1) Mechanisms underlying inter-individual variability in entrainment response; (2) Advantages and limitations of predictive vs. reactive control strategies; (3) Clinical translation pathways for closed-loop gamma entrainment systems; (4) Potential extension to multisensory stimulation and combination with pharmacological therapies; (5) Broader implications for precision medicine approaches in neurodegenerative disease.]</w:t>
      </w:r>
    </w:p>
    <w:p>
      <w:pPr>
        <w:pStyle w:val="ListParagraph"/>
        <w:numPr>
          <w:ilvl w:val="0"/>
          <w:numId w:val="2"/>
        </w:numPr>
      </w:pPr>
      <w:r>
        <w:rPr>
          <w:b/>
          <w:bCs/>
          <w:sz w:val="22"/>
          <w:szCs w:val="22"/>
        </w:rPr>
        <w:t xml:space="preserve">CONCLUSION</w:t>
      </w:r>
    </w:p>
    <w:p>
      <w:pPr>
        <w:spacing w:after="360"/>
        <w:jc w:val="both"/>
      </w:pPr>
      <w:r>
        <w:rPr>
          <w:i/>
          <w:iCs/>
        </w:rPr>
        <w:t xml:space="preserve">[Conclusion section intentionally left for future completion following results and discussion. This section will summarize the key contributions of the research, highlight the significance of closed-loop predictive control for personalized gamma entrainment therapy, and outline future research directions.]</w:t>
      </w:r>
    </w:p>
    <w:p>
      <w:pPr>
        <w:pStyle w:val="Heading2"/>
      </w:pPr>
      <w:r>
        <w:rPr>
          <w:b/>
          <w:bCs/>
        </w:rPr>
        <w:t xml:space="preserve">REFERENCES</w:t>
      </w:r>
    </w:p>
    <w:p>
      <w:pPr>
        <w:spacing w:after="120" w:before="120"/>
        <w:ind w:left="360" w:hanging="360"/>
        <w:jc w:val="both"/>
      </w:pPr>
      <w:r>
        <w:t xml:space="preserve">[1] </w:t>
      </w:r>
      <w:r>
        <w:rPr>
          <w:i/>
          <w:iCs/>
        </w:rPr>
        <w:t xml:space="preserve">I. Iaccarino et al., "Gamma frequency entrainment attenuates amyloid load and modifies microglia," </w:t>
      </w:r>
      <w:r>
        <w:t xml:space="preserve">Nature</w:t>
      </w:r>
      <w:r>
        <w:t xml:space="preserve">, vol. 540, pp. 230-235, 2016.</w:t>
      </w:r>
    </w:p>
    <w:p>
      <w:pPr>
        <w:spacing w:after="120"/>
        <w:ind w:left="360" w:hanging="360"/>
        <w:jc w:val="both"/>
      </w:pPr>
      <w:r>
        <w:t xml:space="preserve">[2] </w:t>
      </w:r>
      <w:r>
        <w:rPr>
          <w:i/>
          <w:iCs/>
        </w:rPr>
        <w:t xml:space="preserve">A. Martorell et al., "Multi-sensory gamma stimulation ameliorates Alzheimer's-associated pathology and improves cognition," </w:t>
      </w:r>
      <w:r>
        <w:t xml:space="preserve">Cell</w:t>
      </w:r>
      <w:r>
        <w:t xml:space="preserve">, vol. 177, no. 2, pp. 256-271, 2019.</w:t>
      </w:r>
    </w:p>
    <w:p>
      <w:pPr>
        <w:spacing w:after="120"/>
        <w:ind w:left="360" w:hanging="360"/>
        <w:jc w:val="both"/>
      </w:pPr>
      <w:r>
        <w:t xml:space="preserve">[3] </w:t>
      </w:r>
      <w:r>
        <w:rPr>
          <w:i/>
          <w:iCs/>
        </w:rPr>
        <w:t xml:space="preserve">R. Tort et al., "Measuring phase-amplitude coupling between neuronal oscillations of different frequencies," </w:t>
      </w:r>
      <w:r>
        <w:t xml:space="preserve">J. Neurophysiol.</w:t>
      </w:r>
      <w:r>
        <w:t xml:space="preserve">, vol. 104, no. 2, pp. 1195-1210, 2010.</w:t>
      </w:r>
    </w:p>
    <w:p>
      <w:pPr>
        <w:spacing w:after="120"/>
        <w:ind w:left="360" w:hanging="360"/>
        <w:jc w:val="both"/>
      </w:pPr>
      <w:r>
        <w:t xml:space="preserve">[4] </w:t>
      </w:r>
      <w:r>
        <w:rPr>
          <w:i/>
          <w:iCs/>
        </w:rPr>
        <w:t xml:space="preserve">V. Lawhern et al., "EEGNet: A compact convolutional neural network for EEG-based brain-computer interfaces," </w:t>
      </w:r>
      <w:r>
        <w:t xml:space="preserve">J. Neural Eng.</w:t>
      </w:r>
      <w:r>
        <w:t xml:space="preserve">, vol. 15, no. 5, p. 056013, 2018.</w:t>
      </w:r>
    </w:p>
    <w:p>
      <w:pPr>
        <w:spacing w:after="120"/>
        <w:ind w:left="360" w:hanging="360"/>
        <w:jc w:val="both"/>
      </w:pPr>
      <w:r>
        <w:t xml:space="preserve">[5] </w:t>
      </w:r>
      <w:r>
        <w:rPr>
          <w:i/>
          <w:iCs/>
        </w:rPr>
        <w:t xml:space="preserve">H. Clements-Cortes et al., "Short-term effects of rhythmic sensory stimulation in Alzheimer's disease: An exploratory pilot study," </w:t>
      </w:r>
      <w:r>
        <w:t xml:space="preserve">J. Alzheimers Dis.</w:t>
      </w:r>
      <w:r>
        <w:t xml:space="preserve">, vol. 52, no. 2, pp. 651-660, 2016.</w:t>
      </w:r>
    </w:p>
    <w:p>
      <w:pPr>
        <w:spacing w:after="120"/>
        <w:ind w:left="360" w:hanging="360"/>
        <w:jc w:val="both"/>
      </w:pPr>
      <w:r>
        <w:t xml:space="preserve">[6] </w:t>
      </w:r>
      <w:r>
        <w:rPr>
          <w:i/>
          <w:iCs/>
        </w:rPr>
        <w:t xml:space="preserve">T. Chan et al., "Gamma frequency sensory stimulation in mild probable Alzheimer's dementia patients: Results of feasibility and pilot studies," </w:t>
      </w:r>
      <w:r>
        <w:t xml:space="preserve">PLoS ONE</w:t>
      </w:r>
      <w:r>
        <w:t xml:space="preserve">, vol. 17, no. 12, p. e0278412, 2022.</w:t>
      </w:r>
    </w:p>
    <w:p>
      <w:pPr>
        <w:spacing w:after="120"/>
        <w:ind w:left="360" w:hanging="360"/>
        <w:jc w:val="both"/>
      </w:pPr>
      <w:r>
        <w:t xml:space="preserve">[7] </w:t>
      </w:r>
      <w:r>
        <w:rPr>
          <w:i/>
          <w:iCs/>
        </w:rPr>
        <w:t xml:space="preserve">J. Lisman and O. Jensen, "The theta-gamma neural code," </w:t>
      </w:r>
      <w:r>
        <w:t xml:space="preserve">Neuron</w:t>
      </w:r>
      <w:r>
        <w:t xml:space="preserve">, vol. 77, no. 6, pp. 1002-1016, 2013.</w:t>
      </w:r>
    </w:p>
    <w:p>
      <w:pPr>
        <w:spacing w:after="120"/>
        <w:ind w:left="360" w:hanging="360"/>
        <w:jc w:val="both"/>
      </w:pPr>
      <w:r>
        <w:t xml:space="preserve">[8] </w:t>
      </w:r>
      <w:r>
        <w:rPr>
          <w:i/>
          <w:iCs/>
        </w:rPr>
        <w:t xml:space="preserve">G. Buzsáki and X. Wang, "Mechanisms of gamma oscillations," </w:t>
      </w:r>
      <w:r>
        <w:t xml:space="preserve">Annu. Rev. Neurosci.</w:t>
      </w:r>
      <w:r>
        <w:t xml:space="preserve">, vol. 35, pp. 203-225, 2012.</w:t>
      </w:r>
    </w:p>
    <w:p>
      <w:pPr>
        <w:spacing w:after="120"/>
        <w:ind w:left="360" w:hanging="360"/>
        <w:jc w:val="both"/>
      </w:pPr>
      <w:r>
        <w:t xml:space="preserve">[9] </w:t>
      </w:r>
      <w:r>
        <w:rPr>
          <w:i/>
          <w:iCs/>
        </w:rPr>
        <w:t xml:space="preserve">D. Verret et al., "Inhibitory interneuron deficit links altered network activity and cognitive dysfunction in Alzheimer model," </w:t>
      </w:r>
      <w:r>
        <w:t xml:space="preserve">Cell</w:t>
      </w:r>
      <w:r>
        <w:t xml:space="preserve">, vol. 149, no. 3, pp. 708-721, 2012.</w:t>
      </w:r>
    </w:p>
    <w:p>
      <w:pPr>
        <w:spacing w:after="120"/>
        <w:ind w:left="360" w:hanging="360"/>
        <w:jc w:val="both"/>
      </w:pPr>
      <w:r>
        <w:t xml:space="preserve">[10] </w:t>
      </w:r>
      <w:r>
        <w:rPr>
          <w:i/>
          <w:iCs/>
        </w:rPr>
        <w:t xml:space="preserve">A. Gramfort et al., "MEG and EEG data analysis with MNE-Python," </w:t>
      </w:r>
      <w:r>
        <w:t xml:space="preserve">Front. Neurosci.</w:t>
      </w:r>
      <w:r>
        <w:t xml:space="preserve">, vol. 7, p. 267, 2013.</w:t>
      </w:r>
    </w:p>
    <w:p>
      <w:pPr>
        <w:spacing w:after="240"/>
        <w:ind w:left="360" w:hanging="360"/>
        <w:jc w:val="both"/>
      </w:pPr>
      <w:r>
        <w:t xml:space="preserve">[11] </w:t>
      </w:r>
      <w:r>
        <w:rPr>
          <w:i/>
          <w:iCs/>
        </w:rPr>
        <w:t xml:space="preserve">OpenNeuro Dataset ds005048: "EEG recordings of Alzheimer's patients during 40 Hz auditory stimulation," </w:t>
      </w:r>
      <w:r>
        <w:t xml:space="preserve">Available: https://openneuro.org/datasets/ds005048/versions/1.0.1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00" w:after="100"/>
      <w:jc w:val="left"/>
      <w:outlineLvl w:val="1"/>
    </w:pPr>
    <w:rPr>
      <w:rFonts w:ascii="Times New Roman" w:cs="Times New Roman" w:eastAsia="Times New Roman" w:hAnsi="Times New Roman"/>
      <w:b/>
      <w:bCs/>
      <w:i/>
      <w:iCs/>
      <w:sz w:val="22"/>
      <w:szCs w:val="22"/>
    </w:rPr>
  </w:style>
  <w:style w:type="paragraph" w:styleId="Heading3">
    <w:name w:val="Heading 3"/>
    <w:basedOn w:val="Normal"/>
    <w:next w:val="Normal"/>
    <w:qFormat/>
    <w:pPr>
      <w:spacing w:before="160" w:after="80"/>
      <w:jc w:val="left"/>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2026-01-24T09:16:24.714Z</dcterms:created>
  <dcterms:modified xsi:type="dcterms:W3CDTF">2026-01-24T09:16:24.714Z</dcterms:modified>
</cp:coreProperties>
</file>

<file path=docProps/custom.xml><?xml version="1.0" encoding="utf-8"?>
<Properties xmlns="http://schemas.openxmlformats.org/officeDocument/2006/custom-properties" xmlns:vt="http://schemas.openxmlformats.org/officeDocument/2006/docPropsVTypes"/>
</file>