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Restaurant Order &amp; Customer Analysis</w:t>
      </w:r>
    </w:p>
    <w:p>
      <w:pPr>
        <w:jc w:val="center"/>
      </w:pPr>
      <w:r>
        <w:t>Stakeholder report based on the supplied customer feature dataset and analysis presentation.</w:t>
      </w:r>
    </w:p>
    <w:p>
      <w:pPr>
        <w:pStyle w:val="Heading1"/>
      </w:pPr>
      <w:r>
        <w:t>1. Executive Summary</w:t>
      </w:r>
    </w:p>
    <w:p>
      <w:pPr>
        <w:pStyle w:val="ListBullet"/>
      </w:pPr>
      <w:r>
        <w:t>The two-year analysis shows a stable revenue base, with the presentation reporting approximately $332K total revenue from 16,658 orders across 100 active customers from Jan 2022–Dec 2023.</w:t>
      </w:r>
    </w:p>
    <w:p>
      <w:pPr>
        <w:pStyle w:val="ListBullet"/>
      </w:pPr>
      <w:r>
        <w:t>Main Dishes are the strongest revenue category in the presentation (47% of revenue), while Grilled Chicken, Pasta Alfredo, and Steak are the three leading dishes.</w:t>
      </w:r>
    </w:p>
    <w:p>
      <w:pPr>
        <w:pStyle w:val="ListBullet"/>
      </w:pPr>
      <w:r>
        <w:t>Customer value is not reliably predictable from first-year order history: 2022 vs 2023 customer revenue correlation is 0.10, and the best tested model achieved ROC-AUC of 0.55.</w:t>
      </w:r>
    </w:p>
    <w:p>
      <w:pPr>
        <w:pStyle w:val="ListBullet"/>
      </w:pPr>
      <w:r>
        <w:t>Stakeholder implication: prioritize what is demonstrably driving revenue today, investigate the flat trend, and improve customer-level data before deploying predictive targeting.</w:t>
      </w:r>
    </w:p>
    <w:p>
      <w:pPr>
        <w:pStyle w:val="Heading1"/>
      </w:pPr>
      <w:r>
        <w:t>2. Business Performance</w:t>
      </w:r>
    </w:p>
    <w:tbl>
      <w:tblPr>
        <w:tblStyle w:val="TableGrid"/>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Finding</w:t>
            </w:r>
          </w:p>
        </w:tc>
      </w:tr>
      <w:tr>
        <w:tc>
          <w:tcPr>
            <w:tcW w:type="dxa" w:w="4320"/>
          </w:tcPr>
          <w:p>
            <w:r>
              <w:t>Business scale</w:t>
            </w:r>
          </w:p>
        </w:tc>
        <w:tc>
          <w:tcPr>
            <w:tcW w:type="dxa" w:w="4320"/>
          </w:tcPr>
          <w:p>
            <w:r>
              <w:t>100 customers; 16,658 orders; ~$332K revenue; Jan 2022–Dec 2023.</w:t>
            </w:r>
          </w:p>
        </w:tc>
      </w:tr>
      <w:tr>
        <w:tc>
          <w:tcPr>
            <w:tcW w:type="dxa" w:w="4320"/>
          </w:tcPr>
          <w:p>
            <w:r>
              <w:t>Revenue mix</w:t>
            </w:r>
          </w:p>
        </w:tc>
        <w:tc>
          <w:tcPr>
            <w:tcW w:type="dxa" w:w="4320"/>
          </w:tcPr>
          <w:p>
            <w:r>
              <w:t>Main Dishes account for 47% of revenue according to the presentation.</w:t>
            </w:r>
          </w:p>
        </w:tc>
      </w:tr>
      <w:tr>
        <w:tc>
          <w:tcPr>
            <w:tcW w:type="dxa" w:w="4320"/>
          </w:tcPr>
          <w:p>
            <w:r>
              <w:t>Top items</w:t>
            </w:r>
          </w:p>
        </w:tc>
        <w:tc>
          <w:tcPr>
            <w:tcW w:type="dxa" w:w="4320"/>
          </w:tcPr>
          <w:p>
            <w:r>
              <w:t>Grilled Chicken $38,382; Pasta Alfredo $38,227; Steak $35,849.</w:t>
            </w:r>
          </w:p>
        </w:tc>
      </w:tr>
      <w:tr>
        <w:tc>
          <w:tcPr>
            <w:tcW w:type="dxa" w:w="4320"/>
          </w:tcPr>
          <w:p>
            <w:r>
              <w:t>Trend</w:t>
            </w:r>
          </w:p>
        </w:tc>
        <w:tc>
          <w:tcPr>
            <w:tcW w:type="dxa" w:w="4320"/>
          </w:tcPr>
          <w:p>
            <w:r>
              <w:t>Monthly revenue is described as roughly $12,200–$15,400 with no sustained upward trend or clear seasonal pattern.</w:t>
            </w:r>
          </w:p>
        </w:tc>
      </w:tr>
    </w:tbl>
    <w:p>
      <w:pPr>
        <w:pStyle w:val="Heading1"/>
      </w:pPr>
      <w:r>
        <w:t>3. Customer Prediction Result</w:t>
      </w:r>
    </w:p>
    <w:p>
      <w:r>
        <w:t>The analysis tested whether first-year ordering behavior could identify customers who would become top spenders in year two. The presentation reports a 0.10 correlation between 2022 and 2023 customer revenue and a best model ROC-AUC of 0.55. The practical conclusion is that order history alone is not sufficiently predictive for a future-VIP targeting program.</w:t>
      </w:r>
    </w:p>
    <w:p>
      <w:r>
        <w:t>The presentation also notes that churn modeling was not appropriate because every customer had ordered within the last 20 days of the dataset. This means the data did not contain a meaningful inactive/churn segment.</w:t>
      </w:r>
    </w:p>
    <w:p>
      <w:pPr>
        <w:pStyle w:val="Heading1"/>
      </w:pPr>
      <w:r>
        <w:t>4. Stakeholder Priorities</w:t>
      </w:r>
    </w:p>
    <w:p>
      <w:r>
        <w:rPr>
          <w:b/>
        </w:rPr>
        <w:t xml:space="preserve">1. Protect current winners: </w:t>
      </w:r>
      <w:r>
        <w:t>Weight menu, staffing, and inventory decisions toward Main Dishes and the top three items.</w:t>
      </w:r>
    </w:p>
    <w:p>
      <w:r>
        <w:rPr>
          <w:b/>
        </w:rPr>
        <w:t xml:space="preserve">2. Investigate flat demand: </w:t>
      </w:r>
      <w:r>
        <w:t>Treat the lack of sustained revenue growth as a marketing and demand question.</w:t>
      </w:r>
    </w:p>
    <w:p>
      <w:r>
        <w:rPr>
          <w:b/>
        </w:rPr>
        <w:t xml:space="preserve">3. Capture richer customer data: </w:t>
      </w:r>
      <w:r>
        <w:t>Add party size, promotion exposure, feedback, and loyalty engagement.</w:t>
      </w:r>
    </w:p>
    <w:p>
      <w:r>
        <w:rPr>
          <w:b/>
        </w:rPr>
        <w:t xml:space="preserve">4. Re-test prediction: </w:t>
      </w:r>
      <w:r>
        <w:t>Rebuild and evaluate customer-value prediction once richer inputs are available.</w:t>
      </w:r>
    </w:p>
    <w:p>
      <w:pPr>
        <w:pStyle w:val="Heading1"/>
      </w:pPr>
      <w:r>
        <w:t>5. Dashboard Guide</w:t>
      </w:r>
    </w:p>
    <w:p>
      <w:pPr>
        <w:pStyle w:val="ListBullet"/>
      </w:pPr>
      <w:r>
        <w:t>Use the Customer dropdown to inspect an individual customer.</w:t>
      </w:r>
    </w:p>
    <w:p>
      <w:pPr>
        <w:pStyle w:val="ListBullet"/>
      </w:pPr>
      <w:r>
        <w:t>Use Value Segment to distinguish High Value 2023 customers from Other customers.</w:t>
      </w:r>
    </w:p>
    <w:p>
      <w:pPr>
        <w:pStyle w:val="ListBullet"/>
      </w:pPr>
      <w:r>
        <w:t>Use Metric Year to switch the selected KPI context between 2022 and 2023 where applicable.</w:t>
      </w:r>
    </w:p>
    <w:p>
      <w:pPr>
        <w:pStyle w:val="ListBullet"/>
      </w:pPr>
      <w:r>
        <w:t>The dashboard is designed for stakeholder review: KPI cards first, then segment/customer detail, then decision-oriented takeaways.</w:t>
      </w:r>
    </w:p>
    <w:p>
      <w:r>
        <w:t>The Excel dashboard should be used as the operational review layer, while this report provides the decision context. The dashboard does not invent monthly/category metrics that are absent from the customer feature file.</w:t>
      </w:r>
    </w:p>
    <w:p>
      <w:pPr>
        <w:pStyle w:val="Heading1"/>
      </w:pPr>
      <w:r>
        <w:t>6. Data Scope &amp; Limitations</w:t>
      </w:r>
    </w:p>
    <w:p>
      <w:r>
        <w:t>The customer_features.csv file contains 100 customer-level records and 12 fields, including 2022 order/revenue features, payment shares, order consistency, 2023 revenue, and a 2023 high-value flag. The supplied presentation additionally contains business-level findings on menu categories, top dishes, monthly revenue, and model performance. Where a metric exists only in the presentation, it is presented as source context rather than recalculated from the customer feature file.</w:t>
      </w:r>
    </w:p>
    <w:p>
      <w:pPr>
        <w:pStyle w:val="Heading1"/>
      </w:pPr>
      <w:r>
        <w:t>7. Bottom Line</w:t>
      </w:r>
    </w:p>
    <w:p>
      <w:r>
        <w:t>The menu tells a clearer story than customer history does. Current revenue drivers should be protected and investigated, while customer prediction should wait for richer data such as party size, promotions, feedback, and loyalty engagement.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