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Modelo lógico de base de datos</w:t>
      </w:r>
    </w:p>
    <w:p>
      <w:pPr>
        <w:jc w:val="center"/>
      </w:pPr>
      <w:r>
        <w:rPr>
          <w:rFonts w:ascii="Arial" w:hAnsi="Arial"/>
          <w:b/>
          <w:sz w:val="24"/>
        </w:rPr>
        <w:t>Anexo de Fase 1</w:t>
      </w:r>
    </w:p>
    <w:p>
      <w:pPr>
        <w:spacing w:before="360" w:after="200"/>
      </w:pPr>
      <w:r>
        <w:t>Este anexo identifica las entidades necesarias para mantener trazabilidad de capturas, análisis, alertas y revisión humana.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80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logico_da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Entidades y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B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5040"/>
            <w:vAlign w:val="center"/>
            <w:shd w:fill="173B5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Usuario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Rol y acciones autorizadas.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Local y Góndola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Contexto físico cuando esté disponible.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Captura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Imagen, hash y privacidad.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Modelo versión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Pesos, framework, métricas y aprobación.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Configuración alerta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Umbral y vigencia.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Análisis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Resultado trazable de procesar una captura.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Resultado nivel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Cobertura y confianza por nivel.</w:t>
            </w:r>
          </w:p>
        </w:tc>
      </w:tr>
      <w:tr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Alerta y revisión</w:t>
            </w:r>
          </w:p>
        </w:tc>
        <w:tc>
          <w:tcPr>
            <w:tcW w:type="dxa" w:w="5040"/>
            <w:vAlign w:val="center"/>
            <w:shd w:fill="EDF4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</w:pPr>
            <w:r/>
            <w:r>
              <w:rPr>
                <w:rFonts w:ascii="Arial" w:hAnsi="Arial"/>
                <w:b w:val="0"/>
                <w:sz w:val="17"/>
              </w:rPr>
              <w:t>Evento y decisión humana.</w:t>
            </w:r>
          </w:p>
        </w:tc>
      </w:tr>
    </w:tbl>
    <w:p>
      <w:pPr>
        <w:spacing w:after="80"/>
      </w:pPr>
    </w:p>
    <w:p>
      <w:pPr>
        <w:pStyle w:val="Heading1"/>
      </w:pPr>
      <w:r>
        <w:t>Reglas</w:t>
      </w:r>
    </w:p>
    <w:p>
      <w:r>
        <w:t>Un análisis mantiene sus versiones originales. Una alerta sólo nace de un resultado válido bajo umbral. La revisión agrega trazabilidad y nunca reemplaza silenciosamente la inferencia original.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86773"/>
        <w:sz w:val="15"/>
      </w:rPr>
      <w:t>Proyecto detección de espacios vacíos en góndolas | D-06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