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Poisson model - no first lag of the dependent variable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352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(0.12373)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(0.1099)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(0.16685)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(0.00034)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(0.00779)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(0.20672)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(0.16581)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(0.18832)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(0.1497)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(0.00036)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(0.01101)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(0.19989)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(0.15342)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(0.24846)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(0.11395)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(0.11525)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(0.15918)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(0.00953)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(0.13982)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(0.18863)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(0.2326)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(0.21655)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(0.42734)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(0.37054)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(0.00025)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(0.00554)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(0.00037)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(0.01445)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(0.03296)</w:t>
            </w:r>
          </w:p>
        </w:tc>
      </w:tr>
      <w:tr>
        <w:trPr>
          <w:trHeight w:val="617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(0.39747)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-1.00100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(1.10305)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2024-08-01T10:34:34Z</dcterms:modified>
  <cp:category/>
</cp:coreProperties>
</file>