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suppressAutoHyphens w:val="true"/>
        <w:spacing w:lineRule="auto" w:line="240" w:before="0" w:after="281"/>
        <w:jc w:val="left"/>
        <w:rPr>
          <w:rFonts w:ascii="Times Roman" w:hAnsi="Times Roman" w:eastAsia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pt-PT"/>
        </w:rPr>
        <w:t>Pergunta 2 — Análise do Relatório ENISA Threat Landscape 2025</w:t>
      </w:r>
    </w:p>
    <w:p>
      <w:pPr>
        <w:pStyle w:val="Default"/>
        <w:suppressAutoHyphens w:val="true"/>
        <w:spacing w:lineRule="auto" w:line="240" w:before="0" w:after="240"/>
        <w:jc w:val="left"/>
        <w:rPr>
          <w:rFonts w:ascii="Times Roman" w:hAnsi="Times Roman" w:eastAsia="Times Roman" w:cs="Times Roman"/>
          <w:i w:val="false"/>
          <w:i w:val="false"/>
          <w:iCs w:val="false"/>
        </w:rPr>
      </w:pPr>
      <w:r>
        <w:rPr>
          <w:rFonts w:ascii="Times Roman" w:hAnsi="Times Roman"/>
          <w:i/>
          <w:iCs/>
          <w:lang w:val="pt-PT"/>
        </w:rPr>
        <w:t>Fonte: ENISA Threat Landscape 2025, v1.2 (janeiro 2026) — analisou 4.875 incidentes no período julho 2024 a junho 2025.</w:t>
      </w:r>
    </w:p>
    <w:p>
      <w:pPr>
        <w:pStyle w:val="Default"/>
        <w:suppressAutoHyphens w:val="true"/>
        <w:spacing w:lineRule="auto" w:line="240" w:before="0" w:after="240"/>
        <w:jc w:val="left"/>
        <w:rPr>
          <w:i/>
          <w:i/>
          <w:iCs/>
        </w:rPr>
      </w:pPr>
      <w:r>
        <w:rPr>
          <w:rFonts w:eastAsia="Times Roman" w:cs="Times Roman" w:ascii="Times Roman" w:hAnsi="Times Roman"/>
          <w:i/>
          <w:iCs/>
          <w:lang w:val="pt-PT"/>
        </w:rPr>
        <w:t xml:space="preserve">Ferramenta de análise: IA Claude da Anthropic </w:t>
      </w:r>
    </w:p>
    <w:p>
      <w:pPr>
        <w:pStyle w:val="Default"/>
        <w:suppressAutoHyphens w:val="true"/>
        <w:spacing w:lineRule="auto" w:line="240" w:before="0" w:after="0"/>
        <w:jc w:val="left"/>
        <w:rPr>
          <w:rFonts w:ascii="Times Roman" w:hAnsi="Times Roman" w:eastAsia="Times Roman" w:cs="Times Roman"/>
          <w:outline w:val="false"/>
          <w:color w:val="808080"/>
          <w14:textFill>
            <w14:solidFill>
              <w14:srgbClr w14:val="808080"/>
            </w14:solidFill>
          </w14:textFill>
        </w:rPr>
      </w:pPr>
      <w:r>
        <w:rPr>
          <w:rFonts w:eastAsia="Times Roman" w:cs="Times Roman" w:ascii="Times Roman" w:hAnsi="Times Roman"/>
          <w:outline w:val="false"/>
          <w:color w:val="808080"/>
          <w14:textFill>
            <w14:solidFill>
              <w14:srgbClr w14:val="808080"/>
            </w14:solidFill>
          </w14:textFill>
        </w:rPr>
      </w:r>
    </w:p>
    <w:p>
      <w:pPr>
        <w:pStyle w:val="Default"/>
        <w:suppressAutoHyphens w:val="true"/>
        <w:spacing w:lineRule="auto" w:line="240" w:before="0" w:after="319"/>
        <w:jc w:val="left"/>
        <w:rPr>
          <w:rFonts w:ascii="Times Roman" w:hAnsi="Times Roman" w:eastAsia="Times Roman" w:cs="Times Roman"/>
          <w:b/>
          <w:bCs/>
        </w:rPr>
      </w:pPr>
      <w:r>
        <w:rPr>
          <w:rFonts w:ascii="Times Roman" w:hAnsi="Times Roman"/>
          <w:b/>
          <w:bCs/>
          <w:lang w:val="pt-PT"/>
        </w:rPr>
        <w:t>2.1 Principais ameaças de segurança em 2025</w:t>
      </w:r>
    </w:p>
    <w:p>
      <w:pPr>
        <w:pStyle w:val="Default"/>
        <w:suppressAutoHyphens w:val="true"/>
        <w:spacing w:lineRule="auto" w:line="240" w:before="0" w:after="240"/>
        <w:jc w:val="left"/>
        <w:rPr>
          <w:rFonts w:ascii="Times Roman" w:hAnsi="Times Roman" w:eastAsia="Times Roman" w:cs="Times Roman"/>
        </w:rPr>
      </w:pPr>
      <w:r>
        <w:rPr>
          <w:rFonts w:ascii="Times Roman" w:hAnsi="Times Roman"/>
          <w:b/>
          <w:bCs/>
          <w:lang w:val="pt-PT"/>
        </w:rPr>
        <w:t>Ransomware</w:t>
      </w:r>
      <w:r>
        <w:rPr>
          <w:rFonts w:ascii="Times Roman" w:hAnsi="Times Roman"/>
          <w:lang w:val="pt-PT"/>
        </w:rPr>
        <w:t xml:space="preserve"> — ameaça mais impactante, apesar de uma descida de 11% face ao período anterior. Variantes mais ativas na UE: Akira (11,6%), SafePay (10,1%) e Qilin (7,5%). O modelo Ransomware-as-a-Service (RaaS) continua a proliferar, baixando a barreira de entrada.</w:t>
      </w:r>
    </w:p>
    <w:p>
      <w:pPr>
        <w:pStyle w:val="Default"/>
        <w:suppressAutoHyphens w:val="true"/>
        <w:spacing w:lineRule="auto" w:line="240" w:before="0" w:after="240"/>
        <w:jc w:val="left"/>
        <w:rPr>
          <w:rFonts w:ascii="Times Roman" w:hAnsi="Times Roman" w:eastAsia="Times Roman" w:cs="Times Roman"/>
        </w:rPr>
      </w:pPr>
      <w:r>
        <w:rPr>
          <w:rFonts w:ascii="Times Roman" w:hAnsi="Times Roman"/>
          <w:b/>
          <w:bCs/>
          <w:lang w:val="pt-PT"/>
        </w:rPr>
        <w:t>Hacktivismo / DDoS</w:t>
      </w:r>
      <w:r>
        <w:rPr>
          <w:rFonts w:ascii="Times Roman" w:hAnsi="Times Roman"/>
          <w:lang w:val="pt-PT"/>
        </w:rPr>
        <w:t xml:space="preserve"> — domina em volume, representando ~80% de todos os incidentes. Liderado por grupos pró-Rússia como NoName057(16) (&gt;60% das reivindicações), frequentemente associado a eventos geopolíticos e eleições na UE.</w:t>
      </w:r>
    </w:p>
    <w:p>
      <w:pPr>
        <w:pStyle w:val="Default"/>
        <w:suppressAutoHyphens w:val="true"/>
        <w:spacing w:lineRule="auto" w:line="240" w:before="0" w:after="240"/>
        <w:jc w:val="left"/>
        <w:rPr>
          <w:rFonts w:ascii="Times Roman" w:hAnsi="Times Roman" w:eastAsia="Times Roman" w:cs="Times Roman"/>
        </w:rPr>
      </w:pPr>
      <w:r>
        <w:rPr>
          <w:rFonts w:ascii="Times Roman" w:hAnsi="Times Roman"/>
          <w:b/>
          <w:bCs/>
          <w:lang w:val="pt-PT"/>
        </w:rPr>
        <w:t>Phishing</w:t>
      </w:r>
      <w:r>
        <w:rPr>
          <w:rFonts w:ascii="Times Roman" w:hAnsi="Times Roman"/>
          <w:lang w:val="pt-PT"/>
        </w:rPr>
        <w:t xml:space="preserve"> — principal vetor de intrusão inicial (~60% dos casos). Inclui malspam, vishing e malvertising. Destaca-se a industrialização via plataformas Phishing-as-a-Service e o uso crescente de IA — mais de 80% dos emails de phishing entre set. 2024 e fev. 2025 usavam IA.</w:t>
      </w:r>
    </w:p>
    <w:p>
      <w:pPr>
        <w:pStyle w:val="Default"/>
        <w:suppressAutoHyphens w:val="true"/>
        <w:spacing w:lineRule="auto" w:line="240" w:before="0" w:after="240"/>
        <w:jc w:val="left"/>
        <w:rPr>
          <w:rFonts w:ascii="Times Roman" w:hAnsi="Times Roman" w:eastAsia="Times Roman" w:cs="Times Roman"/>
        </w:rPr>
      </w:pPr>
      <w:r>
        <w:rPr>
          <w:rFonts w:ascii="Times Roman" w:hAnsi="Times Roman"/>
          <w:b/>
          <w:bCs/>
          <w:lang w:val="pt-PT"/>
        </w:rPr>
        <w:t>Ciberespionagem</w:t>
      </w:r>
      <w:r>
        <w:rPr>
          <w:rFonts w:ascii="Times Roman" w:hAnsi="Times Roman"/>
          <w:lang w:val="pt-PT"/>
        </w:rPr>
        <w:t xml:space="preserve"> — grupos APT alinhados com Estados (APT28, APT29, Sandworm) intensificaram campanhas contra administração pública, defesa e telecomunicações na UE.</w:t>
      </w:r>
    </w:p>
    <w:p>
      <w:pPr>
        <w:pStyle w:val="Default"/>
        <w:suppressAutoHyphens w:val="true"/>
        <w:spacing w:lineRule="auto" w:line="240" w:before="0" w:after="240"/>
        <w:jc w:val="left"/>
        <w:rPr>
          <w:rFonts w:ascii="Times Roman" w:hAnsi="Times Roman" w:eastAsia="Times Roman" w:cs="Times Roman"/>
        </w:rPr>
      </w:pPr>
      <w:r>
        <w:rPr>
          <w:rFonts w:ascii="Times Roman" w:hAnsi="Times Roman"/>
          <w:b/>
          <w:bCs/>
          <w:lang w:val="pt-PT"/>
        </w:rPr>
        <w:t>FIMI (Foreign Information Manipulation and Interference)</w:t>
      </w:r>
      <w:r>
        <w:rPr>
          <w:rFonts w:ascii="Times Roman" w:hAnsi="Times Roman"/>
          <w:lang w:val="pt-PT"/>
        </w:rPr>
        <w:t xml:space="preserve"> — operações de manipulação de informação cada vez mais dirigidas a audiências europeias, frequentemente conjugadas com hacktivismo (</w:t>
      </w:r>
      <w:r>
        <w:rPr>
          <w:rFonts w:ascii="Times Roman" w:hAnsi="Times Roman"/>
          <w:i/>
          <w:iCs/>
          <w:lang w:val="pt-PT"/>
        </w:rPr>
        <w:t>faketivism</w:t>
      </w:r>
      <w:r>
        <w:rPr>
          <w:rFonts w:ascii="Times Roman" w:hAnsi="Times Roman"/>
          <w:lang w:val="pt-PT"/>
        </w:rPr>
        <w:t>).</w:t>
      </w:r>
    </w:p>
    <w:p>
      <w:pPr>
        <w:pStyle w:val="Default"/>
        <w:suppressAutoHyphens w:val="true"/>
        <w:spacing w:lineRule="auto" w:line="240" w:before="0" w:after="0"/>
        <w:jc w:val="left"/>
        <w:rPr>
          <w:rFonts w:ascii="Times Roman" w:hAnsi="Times Roman" w:eastAsia="Times Roman" w:cs="Times Roman"/>
          <w:outline w:val="false"/>
          <w:color w:val="808080"/>
          <w14:textFill>
            <w14:solidFill>
              <w14:srgbClr w14:val="808080"/>
            </w14:solidFill>
          </w14:textFill>
        </w:rPr>
      </w:pPr>
      <w:r>
        <w:rPr>
          <w:rFonts w:eastAsia="Times Roman" w:cs="Times Roman" w:ascii="Times Roman" w:hAnsi="Times Roman"/>
          <w:outline w:val="false"/>
          <w:color w:val="808080"/>
          <w14:textFill>
            <w14:solidFill>
              <w14:srgbClr w14:val="808080"/>
            </w14:solidFill>
          </w14:textFill>
        </w:rPr>
      </w:r>
    </w:p>
    <w:p>
      <w:pPr>
        <w:pStyle w:val="Default"/>
        <w:suppressAutoHyphens w:val="true"/>
        <w:spacing w:lineRule="auto" w:line="240" w:before="0" w:after="319"/>
        <w:jc w:val="left"/>
        <w:rPr>
          <w:rFonts w:ascii="Times Roman" w:hAnsi="Times Roman" w:eastAsia="Times Roman" w:cs="Times Roman"/>
          <w:b/>
          <w:bCs/>
        </w:rPr>
      </w:pPr>
      <w:r>
        <w:rPr>
          <w:rFonts w:ascii="Times Roman" w:hAnsi="Times Roman"/>
          <w:b/>
          <w:bCs/>
          <w:lang w:val="pt-PT"/>
        </w:rPr>
        <w:t>2.2 Princípios técnicos do Ransomware</w:t>
      </w:r>
    </w:p>
    <w:p>
      <w:pPr>
        <w:pStyle w:val="Default"/>
        <w:suppressAutoHyphens w:val="true"/>
        <w:spacing w:lineRule="auto" w:line="240" w:before="0" w:after="240"/>
        <w:jc w:val="left"/>
        <w:rPr>
          <w:rFonts w:ascii="Times Roman" w:hAnsi="Times Roman" w:eastAsia="Times Roman" w:cs="Times Roman"/>
        </w:rPr>
      </w:pPr>
      <w:r>
        <w:rPr>
          <w:rFonts w:ascii="Times Roman" w:hAnsi="Times Roman"/>
          <w:lang w:val="pt-PT"/>
        </w:rPr>
        <w:t xml:space="preserve">Escolha: </w:t>
      </w:r>
      <w:r>
        <w:rPr>
          <w:rFonts w:ascii="Times Roman" w:hAnsi="Times Roman"/>
          <w:b/>
          <w:bCs/>
          <w:lang w:val="pt-PT"/>
        </w:rPr>
        <w:t>Ransomware</w:t>
      </w:r>
      <w:r>
        <w:rPr>
          <w:rFonts w:ascii="Times Roman" w:hAnsi="Times Roman"/>
          <w:lang w:val="pt-PT"/>
        </w:rPr>
        <w:t xml:space="preserve"> — a ameaça com maior impacto real na UE.</w:t>
      </w:r>
    </w:p>
    <w:p>
      <w:pPr>
        <w:pStyle w:val="Default"/>
        <w:suppressAutoHyphens w:val="true"/>
        <w:spacing w:lineRule="auto" w:line="240" w:before="0" w:after="240"/>
        <w:jc w:val="left"/>
        <w:rPr>
          <w:rFonts w:ascii="Times Roman" w:hAnsi="Times Roman" w:eastAsia="Times Roman" w:cs="Times Roman"/>
        </w:rPr>
      </w:pPr>
      <w:r>
        <w:rPr>
          <w:rFonts w:ascii="Times Roman" w:hAnsi="Times Roman"/>
          <w:b/>
          <w:bCs/>
          <w:lang w:val="pt-PT"/>
        </w:rPr>
        <w:t>1. Acesso inicial</w:t>
      </w:r>
      <w:r>
        <w:rPr>
          <w:rFonts w:ascii="Times Roman" w:hAnsi="Times Roman"/>
          <w:lang w:val="pt-PT"/>
        </w:rPr>
        <w:t xml:space="preserve"> — tipicamente via phishing ou exploração de vulnerabilidades em serviços expostos (VPN, RDP). Os </w:t>
      </w:r>
      <w:r>
        <w:rPr>
          <w:rFonts w:ascii="Times Roman" w:hAnsi="Times Roman"/>
          <w:i/>
          <w:iCs/>
          <w:lang w:val="pt-PT"/>
        </w:rPr>
        <w:t>Initial Access Brokers</w:t>
      </w:r>
      <w:r>
        <w:rPr>
          <w:rFonts w:ascii="Times Roman" w:hAnsi="Times Roman"/>
          <w:lang w:val="pt-PT"/>
        </w:rPr>
        <w:t xml:space="preserve"> (IABs) vendem acessos pré-comprometidos, com a maioria dos acessos a custar menos de 2.800€.</w:t>
      </w:r>
    </w:p>
    <w:p>
      <w:pPr>
        <w:pStyle w:val="Default"/>
        <w:suppressAutoHyphens w:val="true"/>
        <w:spacing w:lineRule="auto" w:line="240" w:before="0" w:after="240"/>
        <w:jc w:val="left"/>
        <w:rPr>
          <w:rFonts w:ascii="Times Roman" w:hAnsi="Times Roman" w:eastAsia="Times Roman" w:cs="Times Roman"/>
        </w:rPr>
      </w:pPr>
      <w:r>
        <w:rPr>
          <w:rFonts w:ascii="Times Roman" w:hAnsi="Times Roman"/>
          <w:b/>
          <w:bCs/>
          <w:lang w:val="pt-PT"/>
        </w:rPr>
        <w:t>2. Movimento lateral</w:t>
      </w:r>
      <w:r>
        <w:rPr>
          <w:rFonts w:ascii="Times Roman" w:hAnsi="Times Roman"/>
          <w:lang w:val="pt-PT"/>
        </w:rPr>
        <w:t xml:space="preserve"> — após acesso inicial, o atacante percorre a rede interna usando credenciais roubadas e ferramentas legítimas de administração (</w:t>
      </w:r>
      <w:r>
        <w:rPr>
          <w:rFonts w:ascii="Times Roman" w:hAnsi="Times Roman"/>
          <w:i/>
          <w:iCs/>
          <w:lang w:val="pt-PT"/>
        </w:rPr>
        <w:t>living-off-the-land</w:t>
      </w:r>
      <w:r>
        <w:rPr>
          <w:rFonts w:ascii="Times Roman" w:hAnsi="Times Roman"/>
          <w:lang w:val="pt-PT"/>
        </w:rPr>
        <w:t>), evitando deteção.</w:t>
      </w:r>
    </w:p>
    <w:p>
      <w:pPr>
        <w:pStyle w:val="Default"/>
        <w:suppressAutoHyphens w:val="true"/>
        <w:spacing w:lineRule="auto" w:line="240" w:before="0" w:after="240"/>
        <w:jc w:val="left"/>
        <w:rPr>
          <w:rFonts w:ascii="Times Roman" w:hAnsi="Times Roman" w:eastAsia="Times Roman" w:cs="Times Roman"/>
        </w:rPr>
      </w:pPr>
      <w:r>
        <w:rPr>
          <w:rFonts w:ascii="Times Roman" w:hAnsi="Times Roman"/>
          <w:b/>
          <w:bCs/>
          <w:lang w:val="pt-PT"/>
        </w:rPr>
        <w:t>3. Exfiltração de dados</w:t>
      </w:r>
      <w:r>
        <w:rPr>
          <w:rFonts w:ascii="Times Roman" w:hAnsi="Times Roman"/>
          <w:lang w:val="pt-PT"/>
        </w:rPr>
        <w:t xml:space="preserve"> — antes de cifrar, os dados são copiados para infraestrutura do atacante. Esta é a base da </w:t>
      </w:r>
      <w:r>
        <w:rPr>
          <w:rFonts w:ascii="Times Roman" w:hAnsi="Times Roman"/>
          <w:b/>
          <w:bCs/>
          <w:lang w:val="pt-PT"/>
        </w:rPr>
        <w:t>dupla extorsão</w:t>
      </w:r>
      <w:r>
        <w:rPr>
          <w:rFonts w:ascii="Times Roman" w:hAnsi="Times Roman"/>
          <w:lang w:val="pt-PT"/>
        </w:rPr>
        <w:t>: ameaça de publicação dos dados caso o resgate não seja pago.</w:t>
      </w:r>
    </w:p>
    <w:p>
      <w:pPr>
        <w:pStyle w:val="Default"/>
        <w:suppressAutoHyphens w:val="true"/>
        <w:spacing w:lineRule="auto" w:line="240" w:before="0" w:after="240"/>
        <w:jc w:val="left"/>
        <w:rPr>
          <w:rFonts w:ascii="Times Roman" w:hAnsi="Times Roman" w:eastAsia="Times Roman" w:cs="Times Roman"/>
        </w:rPr>
      </w:pPr>
      <w:r>
        <w:rPr>
          <w:rFonts w:ascii="Times Roman" w:hAnsi="Times Roman"/>
          <w:b/>
          <w:bCs/>
          <w:lang w:val="pt-PT"/>
        </w:rPr>
        <w:t>4. Cifragem</w:t>
      </w:r>
      <w:r>
        <w:rPr>
          <w:rFonts w:ascii="Times Roman" w:hAnsi="Times Roman"/>
          <w:lang w:val="pt-PT"/>
        </w:rPr>
        <w:t xml:space="preserve"> — usa criptografia assimétrica (RSA) para proteger uma chave simétrica (AES) gerada localmente que cifra os ficheiros da vítima. Sem a chave privada do atacante, a decifração é inviável.</w:t>
      </w:r>
    </w:p>
    <w:p>
      <w:pPr>
        <w:pStyle w:val="Default"/>
        <w:suppressAutoHyphens w:val="true"/>
        <w:spacing w:lineRule="auto" w:line="240" w:before="0" w:after="240"/>
        <w:jc w:val="left"/>
        <w:rPr>
          <w:rFonts w:ascii="Times Roman" w:hAnsi="Times Roman" w:eastAsia="Times Roman" w:cs="Times Roman"/>
        </w:rPr>
      </w:pPr>
      <w:r>
        <w:rPr>
          <w:rFonts w:ascii="Times Roman" w:hAnsi="Times Roman"/>
          <w:b/>
          <w:bCs/>
          <w:lang w:val="pt-PT"/>
        </w:rPr>
        <w:t>5. Extorsão</w:t>
      </w:r>
      <w:r>
        <w:rPr>
          <w:rFonts w:ascii="Times Roman" w:hAnsi="Times Roman"/>
          <w:lang w:val="pt-PT"/>
        </w:rPr>
        <w:t xml:space="preserve"> — pagamento exigido em criptomoedas. A tendência atual é para grupos descentralizados e alianças entre operadores (ex.: DragonForce), respondendo à pressão das autoridades policiais.</w:t>
      </w:r>
    </w:p>
    <w:p>
      <w:pPr>
        <w:pStyle w:val="Default"/>
        <w:suppressAutoHyphens w:val="true"/>
        <w:spacing w:lineRule="auto" w:line="240" w:before="0" w:after="0"/>
        <w:jc w:val="left"/>
        <w:rPr>
          <w:rFonts w:ascii="Times Roman" w:hAnsi="Times Roman" w:eastAsia="Times Roman" w:cs="Times Roman"/>
          <w:outline w:val="false"/>
          <w:color w:val="808080"/>
          <w14:textFill>
            <w14:solidFill>
              <w14:srgbClr w14:val="808080"/>
            </w14:solidFill>
          </w14:textFill>
        </w:rPr>
      </w:pPr>
      <w:r>
        <w:rPr>
          <w:rFonts w:eastAsia="Times Roman" w:cs="Times Roman" w:ascii="Times Roman" w:hAnsi="Times Roman"/>
          <w:outline w:val="false"/>
          <w:color w:val="808080"/>
          <w14:textFill>
            <w14:solidFill>
              <w14:srgbClr w14:val="808080"/>
            </w14:solidFill>
          </w14:textFill>
        </w:rPr>
      </w:r>
    </w:p>
    <w:p>
      <w:pPr>
        <w:pStyle w:val="Default"/>
        <w:suppressAutoHyphens w:val="true"/>
        <w:spacing w:lineRule="auto" w:line="240" w:before="0" w:after="319"/>
        <w:jc w:val="left"/>
        <w:rPr>
          <w:rFonts w:ascii="Times Roman" w:hAnsi="Times Roman" w:eastAsia="Times Roman" w:cs="Times Roman"/>
          <w:b/>
          <w:bCs/>
        </w:rPr>
      </w:pPr>
      <w:r>
        <w:rPr>
          <w:rFonts w:ascii="Times Roman" w:hAnsi="Times Roman"/>
          <w:b/>
          <w:bCs/>
          <w:lang w:val="pt-PT"/>
        </w:rPr>
        <w:t>2.3 Dois tipos de ameaças que mais aumentaram entre 2024 e 2025</w:t>
      </w:r>
    </w:p>
    <w:p>
      <w:pPr>
        <w:pStyle w:val="Default"/>
        <w:suppressAutoHyphens w:val="true"/>
        <w:spacing w:lineRule="auto" w:line="240" w:before="0" w:after="240"/>
        <w:jc w:val="left"/>
        <w:rPr>
          <w:rFonts w:ascii="Times Roman" w:hAnsi="Times Roman" w:eastAsia="Times Roman" w:cs="Times Roman"/>
        </w:rPr>
      </w:pPr>
      <w:r>
        <w:rPr>
          <w:rFonts w:ascii="Times Roman" w:hAnsi="Times Roman"/>
          <w:b/>
          <w:bCs/>
          <w:lang w:val="pt-PT"/>
        </w:rPr>
        <w:t>1. Hacktivismo (DDoS)</w:t>
      </w:r>
      <w:r>
        <w:rPr>
          <w:rFonts w:ascii="Times Roman" w:hAnsi="Times Roman"/>
          <w:lang w:val="pt-PT"/>
        </w:rPr>
        <w:t xml:space="preserve"> — crescimento mais expressivo em volume. Passou a representar ~80% de todos os incidentes registados na UE. A administração pública foi o setor mais afetado (38%), com um </w:t>
      </w:r>
      <w:r>
        <w:rPr>
          <w:rFonts w:ascii="Times Roman" w:hAnsi="Times Roman"/>
          <w:b/>
          <w:bCs/>
          <w:lang w:val="pt-PT"/>
        </w:rPr>
        <w:t>aumento substancial</w:t>
      </w:r>
      <w:r>
        <w:rPr>
          <w:rFonts w:ascii="Times Roman" w:hAnsi="Times Roman"/>
          <w:lang w:val="pt-PT"/>
        </w:rPr>
        <w:t xml:space="preserve"> face ao período anterior, impulsionado por campanhas ligadas ao apoio à Ucrânia e a eleições nacionais.</w:t>
      </w:r>
    </w:p>
    <w:p>
      <w:pPr>
        <w:pStyle w:val="Default"/>
        <w:suppressAutoHyphens w:val="true"/>
        <w:spacing w:lineRule="auto" w:line="240" w:before="0" w:after="240"/>
        <w:jc w:val="left"/>
        <w:rPr/>
      </w:pPr>
      <w:r>
        <w:rPr>
          <w:rFonts w:ascii="Times Roman" w:hAnsi="Times Roman"/>
          <w:b/>
          <w:bCs/>
          <w:lang w:val="pt-PT"/>
        </w:rPr>
        <w:t>2. FIMI</w:t>
      </w:r>
      <w:r>
        <w:rPr>
          <w:rFonts w:ascii="Times Roman" w:hAnsi="Times Roman"/>
          <w:lang w:val="pt-PT"/>
        </w:rPr>
        <w:t xml:space="preserve"> — crescimento significativo de operações de manipulação de informação dirigidas à UE. Destaque para o </w:t>
      </w:r>
      <w:r>
        <w:rPr>
          <w:rFonts w:ascii="Times Roman" w:hAnsi="Times Roman"/>
          <w:i/>
          <w:iCs/>
          <w:lang w:val="pt-PT"/>
        </w:rPr>
        <w:t>Matryoshka Information Manipulation Set</w:t>
      </w:r>
      <w:r>
        <w:rPr>
          <w:rFonts w:ascii="Times Roman" w:hAnsi="Times Roman"/>
          <w:lang w:val="pt-PT"/>
        </w:rPr>
        <w:t xml:space="preserve"> como o grupo mais ativo. Relevante a convergência com o hacktivismo: grupos alinhados com Estados usam personas hacktivistas para combinar perturbação digital com desinformação.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709" w:top="1134" w:footer="85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Helvetica Neue">
    <w:charset w:val="01"/>
    <w:family w:val="roman"/>
    <w:pitch w:val="variable"/>
  </w:font>
  <w:font w:name="Times Roman">
    <w:altName w:val="Times New Roman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bidi w:val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bidi w:val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bidi w:val="0"/>
      <w:rPr/>
    </w:pPr>
    <w:r>
      <w:rPr/>
    </w:r>
  </w:p>
</w:hdr>
</file>

<file path=word/settings.xml><?xml version="1.0" encoding="utf-8"?>
<w:settings xmlns:w="http://schemas.openxmlformats.org/wordprocessingml/2006/main">
  <w:zoom w:percent="75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keepNext w:val="false"/>
      <w:keepLines w:val="false"/>
      <w:pageBreakBefore w:val="false"/>
      <w:widowControl/>
      <w:pBdr/>
      <w:shd w:val="clear" w:color="auto" w:fill="auto"/>
      <w:suppressAutoHyphens w:val="false"/>
      <w:bidi w:val="0"/>
      <w:spacing w:lineRule="auto" w:line="240" w:beforeAutospacing="0" w:before="0" w:afterAutospacing="0" w:after="0"/>
      <w:ind w:hanging="0" w:left="0" w:right="0"/>
      <w:jc w:val="left"/>
    </w:pPr>
    <w:rPr>
      <w:rFonts w:ascii="Times New Roman" w:hAnsi="Times New Roman" w:eastAsia="Arial Unicode MS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auto"/>
      <w:spacing w:val="0"/>
      <w:w w:val="100"/>
      <w:kern w:val="0"/>
      <w:position w:val="0"/>
      <w:sz w:val="24"/>
      <w:sz w:val="24"/>
      <w:szCs w:val="24"/>
      <w:u w:val="none" w:color="FFFFFF"/>
      <w:vertAlign w:val="baseline"/>
      <w:lang w:val="en-US" w:eastAsia="en-US" w:bidi="ar-SA"/>
    </w:rPr>
  </w:style>
  <w:style w:type="character" w:styleId="DefaultParagraphFont" w:default="1">
    <w:name w:val="Default Paragraph Font"/>
    <w:qFormat/>
    <w:rPr/>
  </w:style>
  <w:style w:type="character" w:styleId="Hyperlink">
    <w:name w:val="Hyperlink"/>
    <w:rPr>
      <w:u w:val="single" w:color="FFFFFF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Footer">
    <w:name w:val="Header &amp; Footer"/>
    <w:qFormat/>
    <w:pPr>
      <w:keepNext w:val="false"/>
      <w:keepLines w:val="false"/>
      <w:pageBreakBefore w:val="false"/>
      <w:widowControl/>
      <w:pBdr/>
      <w:shd w:val="clear" w:color="auto" w:fill="auto"/>
      <w:tabs>
        <w:tab w:val="clear" w:pos="720"/>
        <w:tab w:val="right" w:pos="9020" w:leader="none"/>
      </w:tabs>
      <w:suppressAutoHyphens w:val="false"/>
      <w:bidi w:val="0"/>
      <w:spacing w:lineRule="auto" w:line="240" w:beforeAutospacing="0" w:before="0" w:afterAutospacing="0" w:after="0"/>
      <w:ind w:hanging="0" w:left="0" w:right="0"/>
      <w:jc w:val="left"/>
    </w:pPr>
    <w:rPr>
      <w:rFonts w:ascii="Helvetica Neue" w:hAnsi="Helvetica Neue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 w:color="FFFFFF"/>
      <w:shd w:fill="auto" w:val="clear"/>
      <w:vertAlign w:val="baseline"/>
      <w:lang w:val="en-US" w:eastAsia="zh-CN" w:bidi="hi-IN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qFormat/>
    <w:pPr>
      <w:keepNext w:val="false"/>
      <w:keepLines w:val="false"/>
      <w:pageBreakBefore w:val="false"/>
      <w:widowControl/>
      <w:pBdr/>
      <w:shd w:val="clear" w:color="auto" w:fill="auto"/>
      <w:suppressAutoHyphens w:val="false"/>
      <w:bidi w:val="0"/>
      <w:spacing w:lineRule="auto" w:line="288" w:beforeAutospacing="0" w:before="160" w:afterAutospacing="0" w:after="0"/>
      <w:ind w:hanging="0" w:left="0" w:right="0"/>
      <w:jc w:val="left"/>
    </w:pPr>
    <w:rPr>
      <w:rFonts w:ascii="Helvetica Neue" w:hAnsi="Helvetica Neue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 w:color="000000"/>
      <w:shd w:fill="auto" w:val="clear"/>
      <w:vertAlign w:val="baseline"/>
      <w:lang w:val="pt-PT" w:eastAsia="zh-CN" w:bidi="hi-IN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qFormat/>
  </w:style>
  <w:style w:type="table" w:default="1" w:styleId="Table Normal">
    <w:name w:val="Table Normal"/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LibreOffice/24.2.7.2$Linux_X86_64 LibreOffice_project/420$Build-2</Application>
  <AppVersion>15.0000</AppVersion>
  <Pages>2</Pages>
  <Words>455</Words>
  <Characters>2742</Characters>
  <CharactersWithSpaces>3195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2026-06-25T17:54:36Z</dcterms:modified>
  <cp:revision>1</cp:revision>
  <dc:subject/>
  <dc:title/>
</cp:coreProperties>
</file>