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160"/>
        <w:shd w:fill="FFD9D4"/>
      </w:pPr>
      <w:r>
        <w:rPr>
          <w:rFonts w:ascii="Arial" w:hAnsi="Arial"/>
          <w:b/>
          <w:color w:val="102A43"/>
          <w:sz w:val="17"/>
        </w:rPr>
        <w:t>EDITABLE TEMPLATE  ·  CLINICAL REVIEW REQUIRED BEFORE USE</w:t>
      </w:r>
    </w:p>
    <w:p>
      <w:pPr>
        <w:spacing w:before="0" w:after="80"/>
      </w:pPr>
      <w:r>
        <w:rPr>
          <w:rFonts w:ascii="Georgia" w:hAnsi="Georgia"/>
          <w:b/>
          <w:color w:val="102A43"/>
          <w:sz w:val="46"/>
        </w:rPr>
        <w:t>Delirium and dementia: understanding the difference</w:t>
      </w:r>
    </w:p>
    <w:p>
      <w:pPr>
        <w:spacing w:after="200"/>
      </w:pPr>
      <w:r>
        <w:rPr>
          <w:rFonts w:ascii="Arial" w:hAnsi="Arial"/>
          <w:b/>
          <w:color w:val="4F77FF"/>
          <w:sz w:val="17"/>
        </w:rPr>
        <w:t>INTENDED USE: PATIENT &amp; FAMILY HANDOUT</w:t>
      </w:r>
    </w:p>
    <w:p>
      <w:pPr>
        <w:spacing w:after="240"/>
      </w:pPr>
      <w:r>
        <w:rPr>
          <w:rFonts w:ascii="Arial" w:hAnsi="Arial"/>
          <w:i/>
          <w:color w:val="334E68"/>
          <w:sz w:val="23"/>
        </w:rPr>
        <w:t>To explain the typical patterns while making clear that delirium and dementia can occur together.</w:t>
      </w:r>
    </w:p>
    <w:tbl>
      <w:tblPr>
        <w:tblStyle w:val="TableGrid"/>
        <w:tblW w:type="dxa" w:w="9920"/>
        <w:jc w:val="left"/>
        <w:tblLayout w:type="fixed"/>
        <w:tblLook w:firstColumn="1" w:firstRow="1" w:lastColumn="0" w:lastRow="0" w:noHBand="0" w:noVBand="1" w:val="04A0"/>
        <w:tblInd w:w="120" w:type="dxa"/>
      </w:tblPr>
      <w:tblGrid>
        <w:gridCol w:w="2500"/>
        <w:gridCol w:w="7420"/>
      </w:tblGrid>
      <w:tr>
        <w:trPr>
          <w:tblHeader w:val="true"/>
        </w:trPr>
        <w:tc>
          <w:tcPr>
            <w:tcW w:type="dxa" w:w="9920"/>
            <w:gridSpan w:val="2"/>
            <w:tcMar>
              <w:top w:w="100" w:type="dxa"/>
              <w:start w:w="120" w:type="dxa"/>
              <w:bottom w:w="100" w:type="dxa"/>
              <w:end w:w="120" w:type="dxa"/>
            </w:tcMar>
            <w:shd w:fill="C9F45B"/>
            <w:vAlign w:val="center"/>
          </w:tcPr>
          <w:p>
            <w:r>
              <w:rPr>
                <w:rFonts w:ascii="Arial" w:hAnsi="Arial"/>
                <w:b/>
                <w:color w:val="102A43"/>
                <w:sz w:val="18"/>
              </w:rPr>
              <w:t>LOCAL ADAPTATION FIELDS - replace highlighted text before use</w:t>
            </w:r>
          </w:p>
        </w:tc>
      </w:tr>
      <w:tr>
        <w:tc>
          <w:tcPr>
            <w:tcW w:type="dxa" w:w="2500"/>
            <w:tcMar>
              <w:top w:w="100" w:type="dxa"/>
              <w:start w:w="120" w:type="dxa"/>
              <w:bottom w:w="100" w:type="dxa"/>
              <w:end w:w="120" w:type="dxa"/>
            </w:tcMar>
            <w:vAlign w:val="center"/>
            <w:shd w:fill="EEF2F5"/>
          </w:tcPr>
          <w:p>
            <w:r>
              <w:rPr>
                <w:rFonts w:ascii="Arial" w:hAnsi="Arial"/>
                <w:b/>
                <w:color w:val="102A43"/>
                <w:sz w:val="18"/>
              </w:rPr>
              <w:t>Organisation / service</w:t>
            </w:r>
          </w:p>
        </w:tc>
        <w:tc>
          <w:tcPr>
            <w:tcW w:type="dxa" w:w="7420"/>
            <w:tcMar>
              <w:top w:w="100" w:type="dxa"/>
              <w:start w:w="120" w:type="dxa"/>
              <w:bottom w:w="100" w:type="dxa"/>
              <w:end w:w="120" w:type="dxa"/>
            </w:tcMar>
            <w:vAlign w:val="center"/>
            <w:shd w:fill="FFFDF8"/>
          </w:tcPr>
          <w:p>
            <w:r>
              <w:rPr>
                <w:rFonts w:ascii="Arial" w:hAnsi="Arial"/>
                <w:i/>
                <w:color w:val="334E68"/>
                <w:sz w:val="18"/>
              </w:rPr>
              <w:t>[ADD LOCAL NAME OR LOGO]</w:t>
            </w:r>
          </w:p>
        </w:tc>
      </w:tr>
      <w:tr>
        <w:tc>
          <w:tcPr>
            <w:tcW w:type="dxa" w:w="2500"/>
            <w:tcMar>
              <w:top w:w="100" w:type="dxa"/>
              <w:start w:w="120" w:type="dxa"/>
              <w:bottom w:w="100" w:type="dxa"/>
              <w:end w:w="120" w:type="dxa"/>
            </w:tcMar>
            <w:vAlign w:val="center"/>
            <w:shd w:fill="EEF2F5"/>
          </w:tcPr>
          <w:p>
            <w:r>
              <w:rPr>
                <w:rFonts w:ascii="Arial" w:hAnsi="Arial"/>
                <w:b/>
                <w:color w:val="102A43"/>
                <w:sz w:val="18"/>
              </w:rPr>
              <w:t>Clinical lead / owner</w:t>
            </w:r>
          </w:p>
        </w:tc>
        <w:tc>
          <w:tcPr>
            <w:tcW w:type="dxa" w:w="7420"/>
            <w:tcMar>
              <w:top w:w="100" w:type="dxa"/>
              <w:start w:w="120" w:type="dxa"/>
              <w:bottom w:w="100" w:type="dxa"/>
              <w:end w:w="120" w:type="dxa"/>
            </w:tcMar>
            <w:vAlign w:val="center"/>
            <w:shd w:fill="FFFDF8"/>
          </w:tcPr>
          <w:p>
            <w:r>
              <w:rPr>
                <w:rFonts w:ascii="Arial" w:hAnsi="Arial"/>
                <w:i/>
                <w:color w:val="334E68"/>
                <w:sz w:val="18"/>
              </w:rPr>
              <w:t>[ADD NAME, ROLE AND CONTACT]</w:t>
            </w:r>
          </w:p>
        </w:tc>
      </w:tr>
      <w:tr>
        <w:tc>
          <w:tcPr>
            <w:tcW w:type="dxa" w:w="2500"/>
            <w:tcMar>
              <w:top w:w="100" w:type="dxa"/>
              <w:start w:w="120" w:type="dxa"/>
              <w:bottom w:w="100" w:type="dxa"/>
              <w:end w:w="120" w:type="dxa"/>
            </w:tcMar>
            <w:vAlign w:val="center"/>
            <w:shd w:fill="EEF2F5"/>
          </w:tcPr>
          <w:p>
            <w:r>
              <w:rPr>
                <w:rFonts w:ascii="Arial" w:hAnsi="Arial"/>
                <w:b/>
                <w:color w:val="102A43"/>
                <w:sz w:val="18"/>
              </w:rPr>
              <w:t>Escalation or referral route</w:t>
            </w:r>
          </w:p>
        </w:tc>
        <w:tc>
          <w:tcPr>
            <w:tcW w:type="dxa" w:w="7420"/>
            <w:tcMar>
              <w:top w:w="100" w:type="dxa"/>
              <w:start w:w="120" w:type="dxa"/>
              <w:bottom w:w="100" w:type="dxa"/>
              <w:end w:w="120" w:type="dxa"/>
            </w:tcMar>
            <w:vAlign w:val="center"/>
            <w:shd w:fill="FFFDF8"/>
          </w:tcPr>
          <w:p>
            <w:r>
              <w:rPr>
                <w:rFonts w:ascii="Arial" w:hAnsi="Arial"/>
                <w:i/>
                <w:color w:val="334E68"/>
                <w:sz w:val="18"/>
              </w:rPr>
              <w:t>[ADD LOCAL ROUTE AND TELEPHONE / BLEEP DETAILS]</w:t>
            </w:r>
          </w:p>
        </w:tc>
      </w:tr>
      <w:tr>
        <w:tc>
          <w:tcPr>
            <w:tcW w:type="dxa" w:w="2500"/>
            <w:tcMar>
              <w:top w:w="100" w:type="dxa"/>
              <w:start w:w="120" w:type="dxa"/>
              <w:bottom w:w="100" w:type="dxa"/>
              <w:end w:w="120" w:type="dxa"/>
            </w:tcMar>
            <w:vAlign w:val="center"/>
            <w:shd w:fill="EEF2F5"/>
          </w:tcPr>
          <w:p>
            <w:r>
              <w:rPr>
                <w:rFonts w:ascii="Arial" w:hAnsi="Arial"/>
                <w:b/>
                <w:color w:val="102A43"/>
                <w:sz w:val="18"/>
              </w:rPr>
              <w:t>Local policy / review note</w:t>
            </w:r>
          </w:p>
        </w:tc>
        <w:tc>
          <w:tcPr>
            <w:tcW w:type="dxa" w:w="7420"/>
            <w:tcMar>
              <w:top w:w="100" w:type="dxa"/>
              <w:start w:w="120" w:type="dxa"/>
              <w:bottom w:w="100" w:type="dxa"/>
              <w:end w:w="120" w:type="dxa"/>
            </w:tcMar>
            <w:vAlign w:val="center"/>
            <w:shd w:fill="FFFDF8"/>
          </w:tcPr>
          <w:p>
            <w:r>
              <w:rPr>
                <w:rFonts w:ascii="Arial" w:hAnsi="Arial"/>
                <w:i/>
                <w:color w:val="334E68"/>
                <w:sz w:val="18"/>
              </w:rPr>
              <w:t>[ADD POLICY LINK, FORMULARY NOTE OR NEXT REVIEW DATE]</w:t>
            </w:r>
          </w:p>
        </w:tc>
      </w:tr>
    </w:tbl>
    <w:p>
      <w:pPr>
        <w:spacing w:after="80"/>
      </w:pPr>
    </w:p>
    <w:p>
      <w:pPr>
        <w:pStyle w:val="Heading2"/>
        <w:keepNext/>
      </w:pPr>
      <w:r>
        <w:t>Delirium usually means a sudden change</w:t>
      </w:r>
    </w:p>
    <w:p>
      <w:pPr>
        <w:pStyle w:val="ListBullet"/>
      </w:pPr>
      <w:r>
        <w:rPr>
          <w:rFonts w:ascii="Arial" w:hAnsi="Arial"/>
        </w:rPr>
        <w:t>It develops over hours or days.</w:t>
      </w:r>
    </w:p>
    <w:p>
      <w:pPr>
        <w:pStyle w:val="ListBullet"/>
      </w:pPr>
      <w:r>
        <w:rPr>
          <w:rFonts w:ascii="Arial" w:hAnsi="Arial"/>
        </w:rPr>
        <w:t>Attention and awareness are often affected.</w:t>
      </w:r>
    </w:p>
    <w:p>
      <w:pPr>
        <w:pStyle w:val="ListBullet"/>
      </w:pPr>
      <w:r>
        <w:rPr>
          <w:rFonts w:ascii="Arial" w:hAnsi="Arial"/>
        </w:rPr>
        <w:t>Alertness may be unusually high or low.</w:t>
      </w:r>
    </w:p>
    <w:p>
      <w:pPr>
        <w:pStyle w:val="ListBullet"/>
      </w:pPr>
      <w:r>
        <w:rPr>
          <w:rFonts w:ascii="Arial" w:hAnsi="Arial"/>
        </w:rPr>
        <w:t>Symptoms can fluctuate, sometimes changing noticeably within the same day.</w:t>
      </w:r>
    </w:p>
    <w:p>
      <w:pPr>
        <w:pStyle w:val="Heading2"/>
        <w:keepNext/>
      </w:pPr>
      <w:r>
        <w:t>Dementia usually develops more gradually</w:t>
      </w:r>
    </w:p>
    <w:p>
      <w:r>
        <w:rPr>
          <w:rFonts w:ascii="Arial" w:hAnsi="Arial"/>
        </w:rPr>
        <w:t>Dementia is a long-term condition that affects memory and other thinking abilities. Its usual pattern is more gradual than delirium. However, symptoms and diagnoses vary, so this distinction cannot be made safely from a checklist alone.</w:t>
      </w:r>
    </w:p>
    <w:p>
      <w:pPr>
        <w:pStyle w:val="Heading2"/>
        <w:keepNext/>
      </w:pPr>
      <w:r>
        <w:t>A person can have both</w:t>
      </w:r>
    </w:p>
    <w:p>
      <w:r>
        <w:rPr>
          <w:rFonts w:ascii="Arial" w:hAnsi="Arial"/>
        </w:rPr>
        <w:t>Someone living with dementia can also develop delirium. The important clue is a new change from that person's usual abilities or behaviour. If it is difficult to tell delirium from dementia, NICE advises that delirium should be managed first.</w:t>
      </w:r>
    </w:p>
    <w:p>
      <w:pPr>
        <w:pStyle w:val="Heading2"/>
        <w:keepNext/>
      </w:pPr>
      <w:r>
        <w:t>What families can contribute</w:t>
      </w:r>
    </w:p>
    <w:p>
      <w:pPr>
        <w:pStyle w:val="ListBullet"/>
      </w:pPr>
      <w:r>
        <w:rPr>
          <w:rFonts w:ascii="Arial" w:hAnsi="Arial"/>
        </w:rPr>
        <w:t>Describe the person's usual memory, conversation, alertness and independence.</w:t>
      </w:r>
    </w:p>
    <w:p>
      <w:pPr>
        <w:pStyle w:val="ListBullet"/>
      </w:pPr>
      <w:r>
        <w:rPr>
          <w:rFonts w:ascii="Arial" w:hAnsi="Arial"/>
        </w:rPr>
        <w:t>Say exactly what is new and when it began.</w:t>
      </w:r>
    </w:p>
    <w:p>
      <w:pPr>
        <w:pStyle w:val="ListBullet"/>
      </w:pPr>
      <w:r>
        <w:rPr>
          <w:rFonts w:ascii="Arial" w:hAnsi="Arial"/>
        </w:rPr>
        <w:t>Mention whether the change comes and goes.</w:t>
      </w:r>
    </w:p>
    <w:p>
      <w:pPr>
        <w:pStyle w:val="ListBullet"/>
      </w:pPr>
      <w:r>
        <w:rPr>
          <w:rFonts w:ascii="Arial" w:hAnsi="Arial"/>
        </w:rPr>
        <w:t>Ask whether the person has been assessed for delirium and possible causes.</w:t>
      </w:r>
    </w:p>
    <w:p>
      <w:pPr>
        <w:spacing w:before="80" w:after="140"/>
        <w:ind w:left="120" w:right="120"/>
        <w:shd w:fill="FFD9D4"/>
        <w:pBdr>
          <w:top w:val="single" w:sz="10" w:space="5" w:color="102A43"/>
          <w:left w:val="single" w:sz="10" w:space="5" w:color="102A43"/>
          <w:bottom w:val="single" w:sz="10" w:space="5" w:color="102A43"/>
          <w:right w:val="single" w:sz="10" w:space="5" w:color="102A43"/>
        </w:pBdr>
      </w:pPr>
      <w:r>
        <w:rPr>
          <w:rFonts w:ascii="Arial" w:hAnsi="Arial"/>
          <w:b/>
          <w:color w:val="102A43"/>
          <w:sz w:val="21"/>
        </w:rPr>
        <w:t>Urgent action</w:t>
      </w:r>
      <w:r>
        <w:rPr>
          <w:rFonts w:ascii="Arial" w:hAnsi="Arial"/>
          <w:color w:val="102A43"/>
          <w:sz w:val="21"/>
        </w:rPr>
        <w:t xml:space="preserve"> Never assume that sudden worsening is simply dementia. In the UK, new, sudden confusion requires immediate help: call 999 or go to A&amp;E now, and do not drive yourself. If the person is already in hospital or a care home, tell staff immediately. Outside the UK, call your local emergency number or use your local emergency service.</w:t>
      </w:r>
    </w:p>
    <w:p>
      <w:pPr>
        <w:pStyle w:val="Heading2"/>
        <w:keepNext/>
      </w:pPr>
      <w:r>
        <w:t>Verified sources</w:t>
      </w:r>
    </w:p>
    <w:p>
      <w:pPr>
        <w:pStyle w:val="ListBullet"/>
        <w:spacing w:after="40"/>
      </w:pPr>
      <w:hyperlink r:id="rId11">
        <w:r>
          <w:rPr>
            <w:color w:val="244FC5"/>
            <w:u w:val="single"/>
          </w:rPr>
          <w:t>NHS: Sudden confusion (delirium)</w:t>
        </w:r>
      </w:hyperlink>
    </w:p>
    <w:p>
      <w:pPr>
        <w:pStyle w:val="ListBullet"/>
        <w:spacing w:after="40"/>
      </w:pPr>
      <w:hyperlink r:id="rId12">
        <w:r>
          <w:rPr>
            <w:color w:val="244FC5"/>
            <w:u w:val="single"/>
          </w:rPr>
          <w:t>NHS inform: Delirium and dementia</w:t>
        </w:r>
      </w:hyperlink>
    </w:p>
    <w:p>
      <w:pPr>
        <w:pStyle w:val="ListBullet"/>
        <w:spacing w:after="40"/>
      </w:pPr>
      <w:hyperlink r:id="rId13">
        <w:r>
          <w:rPr>
            <w:color w:val="244FC5"/>
            <w:u w:val="single"/>
          </w:rPr>
          <w:t>NICE CG103: Distinguishing delirium from dementia</w:t>
        </w:r>
      </w:hyperlink>
    </w:p>
    <w:p>
      <w:pPr>
        <w:pStyle w:val="ListBullet"/>
        <w:spacing w:after="40"/>
      </w:pPr>
      <w:hyperlink r:id="rId14">
        <w:r>
          <w:rPr>
            <w:color w:val="244FC5"/>
            <w:u w:val="single"/>
          </w:rPr>
          <w:t>SIGN 157: Risk reduction and management of delirium</w:t>
        </w:r>
      </w:hyperlink>
    </w:p>
    <w:p>
      <w:pPr>
        <w:pStyle w:val="Heading2"/>
        <w:keepNext/>
      </w:pPr>
      <w:r>
        <w:t>Publication and local review</w:t>
      </w:r>
    </w:p>
    <w:p>
      <w:r>
        <w:rPr>
          <w:rFonts w:ascii="Arial" w:hAnsi="Arial"/>
        </w:rPr>
        <w:t>UK-focused general education. This editable file is supplied so a health or care organisation can add local contacts and pathways. Local edits may change clinical meaning and must be reviewed by an appropriately qualified named clinician before use. It does not replace individual assessment, current national guidance, local policy or formulary advice. Prepared from source materials curated by Professor Alasdair MacLullich, University of Edinburgh; AI-assisted production. Professor MacLullich led development of the 4AT and reports no financial interest in its uptake. Final named human clinical approval is required before use in patient care. Independent resource; not an official University of Edinburgh or NHS publication.</w:t>
      </w:r>
    </w:p>
    <w:sectPr w:rsidR="00FC693F" w:rsidRPr="0006063C" w:rsidSect="00034616">
      <w:headerReference w:type="default" r:id="rId9"/>
      <w:footerReference w:type="default" r:id="rId10"/>
      <w:pgSz w:w="11906" w:h="16838"/>
      <w:pgMar w:top="992" w:right="992" w:bottom="992" w:left="99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51" w:val="right"/>
      </w:tabs>
    </w:pPr>
    <w:r>
      <w:rPr>
        <w:rFonts w:ascii="Arial" w:hAnsi="Arial"/>
        <w:color w:val="334E68"/>
        <w:sz w:val="15"/>
      </w:rPr>
      <w:t>deliriumdownloads.com · Template v0.9 · 7 August 2026 · Human clinical review required</w:t>
    </w:r>
    <w:r>
      <w:tab/>
    </w:r>
    <w:r>
      <w:rPr>
        <w:rFonts w:ascii="Arial" w:hAnsi="Arial"/>
        <w:color w:val="334E68"/>
        <w:sz w:val="15"/>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color w:val="334E68"/>
        <w:sz w:val="16"/>
      </w:rPr>
      <w:t>DELIRIUM DOWNLOADS  ·  EDITABLE LOCAL-ADAPTATION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w:hAnsi="Arial"/>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Georgia" w:hAnsi="Georgia"/>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Georgia" w:hAnsi="Georgia"/>
      <w:b/>
      <w:bCs/>
      <w:color w:val="102A43"/>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334E6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nhs.uk/symptoms/confusion/" TargetMode="External"/><Relationship Id="rId12" Type="http://schemas.openxmlformats.org/officeDocument/2006/relationships/hyperlink" Target="https://www.nhsinform.scot/illnesses-and-conditions/brain-nerves-and-spinal-cord/delirium" TargetMode="External"/><Relationship Id="rId13" Type="http://schemas.openxmlformats.org/officeDocument/2006/relationships/hyperlink" Target="https://www.nice.org.uk/guidance/cg103/chapter/Recommendations" TargetMode="External"/><Relationship Id="rId14" Type="http://schemas.openxmlformats.org/officeDocument/2006/relationships/hyperlink" Target="https://www.sign.ac.uk/assets/sign15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Delirium and dementia: understanding the difference - editable local-adaptation template</dc:title>
  <dc:subject>Delirium education resource - human clinical review required</dc:subject>
  <dc:creator>Professor Alasdair MacLullich</dc:creator>
  <cp:keywords>delirium, local adaptation, clinical education</cp:keywords>
  <dc:description>AI-assisted production. Final named human clinical review required.</dc:description>
  <cp:lastModifiedBy/>
  <cp:revision>1</cp:revision>
  <dcterms:created xsi:type="dcterms:W3CDTF">2013-12-23T23:15:00Z</dcterms:created>
  <dcterms:modified xsi:type="dcterms:W3CDTF">2013-12-23T23:15:00Z</dcterms:modified>
  <cp:category/>
</cp:coreProperties>
</file>