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 w:after="160"/>
        <w:shd w:fill="FFD9D4"/>
      </w:pPr>
      <w:r>
        <w:rPr>
          <w:rFonts w:ascii="Arial" w:hAnsi="Arial"/>
          <w:b/>
          <w:color w:val="102A43"/>
          <w:sz w:val="17"/>
        </w:rPr>
        <w:t>EDITABLE TEMPLATE  ·  CLINICAL REVIEW REQUIRED BEFORE USE</w:t>
      </w:r>
    </w:p>
    <w:p>
      <w:pPr>
        <w:spacing w:before="0" w:after="80"/>
      </w:pPr>
      <w:r>
        <w:rPr>
          <w:rFonts w:ascii="Georgia" w:hAnsi="Georgia"/>
          <w:b/>
          <w:color w:val="102A43"/>
          <w:sz w:val="46"/>
        </w:rPr>
        <w:t>How families can help at the bedside</w:t>
      </w:r>
    </w:p>
    <w:p>
      <w:pPr>
        <w:spacing w:after="200"/>
      </w:pPr>
      <w:r>
        <w:rPr>
          <w:rFonts w:ascii="Arial" w:hAnsi="Arial"/>
          <w:b/>
          <w:color w:val="4F77FF"/>
          <w:sz w:val="17"/>
        </w:rPr>
        <w:t>INTENDED USE: PATIENT &amp; FAMILY HANDOUT</w:t>
      </w:r>
    </w:p>
    <w:p>
      <w:pPr>
        <w:spacing w:after="240"/>
      </w:pPr>
      <w:r>
        <w:rPr>
          <w:rFonts w:ascii="Arial" w:hAnsi="Arial"/>
          <w:i/>
          <w:color w:val="334E68"/>
          <w:sz w:val="23"/>
        </w:rPr>
        <w:t>To give relatives and friends safe, practical ways to support a person with delirium.</w:t>
      </w:r>
    </w:p>
    <w:tbl>
      <w:tblPr>
        <w:tblStyle w:val="TableGrid"/>
        <w:tblW w:type="dxa" w:w="9920"/>
        <w:jc w:val="left"/>
        <w:tblLayout w:type="fixed"/>
        <w:tblLook w:firstColumn="1" w:firstRow="1" w:lastColumn="0" w:lastRow="0" w:noHBand="0" w:noVBand="1" w:val="04A0"/>
        <w:tblInd w:w="120" w:type="dxa"/>
      </w:tblPr>
      <w:tblGrid>
        <w:gridCol w:w="2500"/>
        <w:gridCol w:w="7420"/>
      </w:tblGrid>
      <w:tr>
        <w:trPr>
          <w:tblHeader w:val="true"/>
        </w:trPr>
        <w:tc>
          <w:tcPr>
            <w:tcW w:type="dxa" w:w="9920"/>
            <w:gridSpan w:val="2"/>
            <w:tcMar>
              <w:top w:w="100" w:type="dxa"/>
              <w:start w:w="120" w:type="dxa"/>
              <w:bottom w:w="100" w:type="dxa"/>
              <w:end w:w="120" w:type="dxa"/>
            </w:tcMar>
            <w:shd w:fill="C9F45B"/>
            <w:vAlign w:val="center"/>
          </w:tcPr>
          <w:p>
            <w:r>
              <w:rPr>
                <w:rFonts w:ascii="Arial" w:hAnsi="Arial"/>
                <w:b/>
                <w:color w:val="102A43"/>
                <w:sz w:val="18"/>
              </w:rPr>
              <w:t>LOCAL ADAPTATION FIELDS - replace highlighted text before use</w:t>
            </w:r>
          </w:p>
        </w:tc>
      </w:tr>
      <w:tr>
        <w:tc>
          <w:tcPr>
            <w:tcW w:type="dxa" w:w="2500"/>
            <w:tcMar>
              <w:top w:w="100" w:type="dxa"/>
              <w:start w:w="120" w:type="dxa"/>
              <w:bottom w:w="100" w:type="dxa"/>
              <w:end w:w="120" w:type="dxa"/>
            </w:tcMar>
            <w:vAlign w:val="center"/>
            <w:shd w:fill="EEF2F5"/>
          </w:tcPr>
          <w:p>
            <w:r>
              <w:rPr>
                <w:rFonts w:ascii="Arial" w:hAnsi="Arial"/>
                <w:b/>
                <w:color w:val="102A43"/>
                <w:sz w:val="18"/>
              </w:rPr>
              <w:t>Organisation / service</w:t>
            </w:r>
          </w:p>
        </w:tc>
        <w:tc>
          <w:tcPr>
            <w:tcW w:type="dxa" w:w="7420"/>
            <w:tcMar>
              <w:top w:w="100" w:type="dxa"/>
              <w:start w:w="120" w:type="dxa"/>
              <w:bottom w:w="100" w:type="dxa"/>
              <w:end w:w="120" w:type="dxa"/>
            </w:tcMar>
            <w:vAlign w:val="center"/>
            <w:shd w:fill="FFFDF8"/>
          </w:tcPr>
          <w:p>
            <w:r>
              <w:rPr>
                <w:rFonts w:ascii="Arial" w:hAnsi="Arial"/>
                <w:i/>
                <w:color w:val="334E68"/>
                <w:sz w:val="18"/>
              </w:rPr>
              <w:t>[ADD LOCAL NAME OR LOGO]</w:t>
            </w:r>
          </w:p>
        </w:tc>
      </w:tr>
      <w:tr>
        <w:tc>
          <w:tcPr>
            <w:tcW w:type="dxa" w:w="2500"/>
            <w:tcMar>
              <w:top w:w="100" w:type="dxa"/>
              <w:start w:w="120" w:type="dxa"/>
              <w:bottom w:w="100" w:type="dxa"/>
              <w:end w:w="120" w:type="dxa"/>
            </w:tcMar>
            <w:vAlign w:val="center"/>
            <w:shd w:fill="EEF2F5"/>
          </w:tcPr>
          <w:p>
            <w:r>
              <w:rPr>
                <w:rFonts w:ascii="Arial" w:hAnsi="Arial"/>
                <w:b/>
                <w:color w:val="102A43"/>
                <w:sz w:val="18"/>
              </w:rPr>
              <w:t>Clinical lead / owner</w:t>
            </w:r>
          </w:p>
        </w:tc>
        <w:tc>
          <w:tcPr>
            <w:tcW w:type="dxa" w:w="7420"/>
            <w:tcMar>
              <w:top w:w="100" w:type="dxa"/>
              <w:start w:w="120" w:type="dxa"/>
              <w:bottom w:w="100" w:type="dxa"/>
              <w:end w:w="120" w:type="dxa"/>
            </w:tcMar>
            <w:vAlign w:val="center"/>
            <w:shd w:fill="FFFDF8"/>
          </w:tcPr>
          <w:p>
            <w:r>
              <w:rPr>
                <w:rFonts w:ascii="Arial" w:hAnsi="Arial"/>
                <w:i/>
                <w:color w:val="334E68"/>
                <w:sz w:val="18"/>
              </w:rPr>
              <w:t>[ADD NAME, ROLE AND CONTACT]</w:t>
            </w:r>
          </w:p>
        </w:tc>
      </w:tr>
      <w:tr>
        <w:tc>
          <w:tcPr>
            <w:tcW w:type="dxa" w:w="2500"/>
            <w:tcMar>
              <w:top w:w="100" w:type="dxa"/>
              <w:start w:w="120" w:type="dxa"/>
              <w:bottom w:w="100" w:type="dxa"/>
              <w:end w:w="120" w:type="dxa"/>
            </w:tcMar>
            <w:vAlign w:val="center"/>
            <w:shd w:fill="EEF2F5"/>
          </w:tcPr>
          <w:p>
            <w:r>
              <w:rPr>
                <w:rFonts w:ascii="Arial" w:hAnsi="Arial"/>
                <w:b/>
                <w:color w:val="102A43"/>
                <w:sz w:val="18"/>
              </w:rPr>
              <w:t>Escalation or referral route</w:t>
            </w:r>
          </w:p>
        </w:tc>
        <w:tc>
          <w:tcPr>
            <w:tcW w:type="dxa" w:w="7420"/>
            <w:tcMar>
              <w:top w:w="100" w:type="dxa"/>
              <w:start w:w="120" w:type="dxa"/>
              <w:bottom w:w="100" w:type="dxa"/>
              <w:end w:w="120" w:type="dxa"/>
            </w:tcMar>
            <w:vAlign w:val="center"/>
            <w:shd w:fill="FFFDF8"/>
          </w:tcPr>
          <w:p>
            <w:r>
              <w:rPr>
                <w:rFonts w:ascii="Arial" w:hAnsi="Arial"/>
                <w:i/>
                <w:color w:val="334E68"/>
                <w:sz w:val="18"/>
              </w:rPr>
              <w:t>[ADD LOCAL ROUTE AND TELEPHONE / BLEEP DETAILS]</w:t>
            </w:r>
          </w:p>
        </w:tc>
      </w:tr>
      <w:tr>
        <w:tc>
          <w:tcPr>
            <w:tcW w:type="dxa" w:w="2500"/>
            <w:tcMar>
              <w:top w:w="100" w:type="dxa"/>
              <w:start w:w="120" w:type="dxa"/>
              <w:bottom w:w="100" w:type="dxa"/>
              <w:end w:w="120" w:type="dxa"/>
            </w:tcMar>
            <w:vAlign w:val="center"/>
            <w:shd w:fill="EEF2F5"/>
          </w:tcPr>
          <w:p>
            <w:r>
              <w:rPr>
                <w:rFonts w:ascii="Arial" w:hAnsi="Arial"/>
                <w:b/>
                <w:color w:val="102A43"/>
                <w:sz w:val="18"/>
              </w:rPr>
              <w:t>Local policy / review note</w:t>
            </w:r>
          </w:p>
        </w:tc>
        <w:tc>
          <w:tcPr>
            <w:tcW w:type="dxa" w:w="7420"/>
            <w:tcMar>
              <w:top w:w="100" w:type="dxa"/>
              <w:start w:w="120" w:type="dxa"/>
              <w:bottom w:w="100" w:type="dxa"/>
              <w:end w:w="120" w:type="dxa"/>
            </w:tcMar>
            <w:vAlign w:val="center"/>
            <w:shd w:fill="FFFDF8"/>
          </w:tcPr>
          <w:p>
            <w:r>
              <w:rPr>
                <w:rFonts w:ascii="Arial" w:hAnsi="Arial"/>
                <w:i/>
                <w:color w:val="334E68"/>
                <w:sz w:val="18"/>
              </w:rPr>
              <w:t>[ADD POLICY LINK, FORMULARY NOTE OR NEXT REVIEW DATE]</w:t>
            </w:r>
          </w:p>
        </w:tc>
      </w:tr>
    </w:tbl>
    <w:p>
      <w:pPr>
        <w:spacing w:after="80"/>
      </w:pPr>
    </w:p>
    <w:p>
      <w:pPr>
        <w:pStyle w:val="Heading2"/>
        <w:keepNext/>
      </w:pPr>
      <w:r>
        <w:t>Share what you know</w:t>
      </w:r>
    </w:p>
    <w:p>
      <w:pPr>
        <w:pStyle w:val="ListBullet"/>
      </w:pPr>
      <w:r>
        <w:rPr>
          <w:rFonts w:ascii="Arial" w:hAnsi="Arial"/>
        </w:rPr>
        <w:t>Tell staff what the person is normally like, including memory, communication, mobility and usual sleep.</w:t>
      </w:r>
    </w:p>
    <w:p>
      <w:pPr>
        <w:pStyle w:val="ListBullet"/>
      </w:pPr>
      <w:r>
        <w:rPr>
          <w:rFonts w:ascii="Arial" w:hAnsi="Arial"/>
        </w:rPr>
        <w:t>Describe the first change you noticed and whether symptoms come and go.</w:t>
      </w:r>
    </w:p>
    <w:p>
      <w:pPr>
        <w:pStyle w:val="ListBullet"/>
      </w:pPr>
      <w:r>
        <w:rPr>
          <w:rFonts w:ascii="Arial" w:hAnsi="Arial"/>
        </w:rPr>
        <w:t>Share an up-to-date medicines list and mention recent illness, falls or procedures.</w:t>
      </w:r>
    </w:p>
    <w:p>
      <w:pPr>
        <w:pStyle w:val="ListBullet"/>
      </w:pPr>
      <w:r>
        <w:rPr>
          <w:rFonts w:ascii="Arial" w:hAnsi="Arial"/>
        </w:rPr>
        <w:t>Explain what usually calms, interests or upsets the person.</w:t>
      </w:r>
    </w:p>
    <w:p>
      <w:pPr>
        <w:pStyle w:val="Heading2"/>
        <w:keepNext/>
      </w:pPr>
      <w:r>
        <w:t>Communicate calmly</w:t>
      </w:r>
    </w:p>
    <w:p>
      <w:pPr>
        <w:pStyle w:val="ListBullet"/>
      </w:pPr>
      <w:r>
        <w:rPr>
          <w:rFonts w:ascii="Arial" w:hAnsi="Arial"/>
        </w:rPr>
        <w:t>Approach from the front, say who you are and use the person's preferred name.</w:t>
      </w:r>
    </w:p>
    <w:p>
      <w:pPr>
        <w:pStyle w:val="ListBullet"/>
      </w:pPr>
      <w:r>
        <w:rPr>
          <w:rFonts w:ascii="Arial" w:hAnsi="Arial"/>
        </w:rPr>
        <w:t>Use one idea at a time and allow time for a reply.</w:t>
      </w:r>
    </w:p>
    <w:p>
      <w:pPr>
        <w:pStyle w:val="ListBullet"/>
      </w:pPr>
      <w:r>
        <w:rPr>
          <w:rFonts w:ascii="Arial" w:hAnsi="Arial"/>
        </w:rPr>
        <w:t>Reassure rather than test their memory or correct every mistake.</w:t>
      </w:r>
    </w:p>
    <w:p>
      <w:pPr>
        <w:pStyle w:val="ListBullet"/>
      </w:pPr>
      <w:r>
        <w:rPr>
          <w:rFonts w:ascii="Arial" w:hAnsi="Arial"/>
        </w:rPr>
        <w:t>If a belief seems untrue, acknowledge the person's fear without arguing or agreeing that the belief is true.</w:t>
      </w:r>
    </w:p>
    <w:p>
      <w:pPr>
        <w:pStyle w:val="Heading2"/>
        <w:keepNext/>
      </w:pPr>
      <w:r>
        <w:t>Make the surroundings easier to understand</w:t>
      </w:r>
    </w:p>
    <w:p>
      <w:pPr>
        <w:pStyle w:val="ListBullet"/>
      </w:pPr>
      <w:r>
        <w:rPr>
          <w:rFonts w:ascii="Arial" w:hAnsi="Arial"/>
        </w:rPr>
        <w:t>Check that glasses and hearing aids are available, clean and working.</w:t>
      </w:r>
    </w:p>
    <w:p>
      <w:pPr>
        <w:pStyle w:val="ListBullet"/>
      </w:pPr>
      <w:r>
        <w:rPr>
          <w:rFonts w:ascii="Arial" w:hAnsi="Arial"/>
        </w:rPr>
        <w:t>Point out the clock and calendar and give brief reminders about place and time.</w:t>
      </w:r>
    </w:p>
    <w:p>
      <w:pPr>
        <w:pStyle w:val="ListBullet"/>
      </w:pPr>
      <w:r>
        <w:rPr>
          <w:rFonts w:ascii="Arial" w:hAnsi="Arial"/>
        </w:rPr>
        <w:t>Bring a familiar photograph, object or music if staff agree.</w:t>
      </w:r>
    </w:p>
    <w:p>
      <w:pPr>
        <w:pStyle w:val="ListBullet"/>
      </w:pPr>
      <w:r>
        <w:rPr>
          <w:rFonts w:ascii="Arial" w:hAnsi="Arial"/>
        </w:rPr>
        <w:t>Keep visits calm. A small number of familiar people may be easier than a busy group.</w:t>
      </w:r>
    </w:p>
    <w:p>
      <w:pPr>
        <w:pStyle w:val="Heading2"/>
        <w:keepNext/>
      </w:pPr>
      <w:r>
        <w:t>Help only within the care plan</w:t>
      </w:r>
    </w:p>
    <w:p>
      <w:r>
        <w:rPr>
          <w:rFonts w:ascii="Arial" w:hAnsi="Arial"/>
        </w:rPr>
        <w:t>Ask staff before helping with food, drinks, walking or transfers. Swallowing problems, fluid restrictions and falls risk need individual advice. Tell staff about pain, constipation, difficulty passing urine, poor intake or any further change you notice.</w:t>
      </w:r>
    </w:p>
    <w:p>
      <w:pPr>
        <w:pStyle w:val="Heading2"/>
        <w:keepNext/>
      </w:pPr>
      <w:r>
        <w:t>Look after your own capacity</w:t>
      </w:r>
    </w:p>
    <w:p>
      <w:r>
        <w:rPr>
          <w:rFonts w:ascii="Arial" w:hAnsi="Arial"/>
        </w:rPr>
        <w:t>Delirium can be upsetting for families. Take breaks, share visits where possible and ask the team for an update and a clear contact person.</w:t>
      </w:r>
    </w:p>
    <w:p>
      <w:pPr>
        <w:spacing w:before="80" w:after="140"/>
        <w:ind w:left="120" w:right="120"/>
        <w:shd w:fill="FFD9D4"/>
        <w:pBdr>
          <w:top w:val="single" w:sz="10" w:space="5" w:color="102A43"/>
          <w:left w:val="single" w:sz="10" w:space="5" w:color="102A43"/>
          <w:bottom w:val="single" w:sz="10" w:space="5" w:color="102A43"/>
          <w:right w:val="single" w:sz="10" w:space="5" w:color="102A43"/>
        </w:pBdr>
      </w:pPr>
      <w:r>
        <w:rPr>
          <w:rFonts w:ascii="Arial" w:hAnsi="Arial"/>
          <w:b/>
          <w:color w:val="102A43"/>
          <w:sz w:val="21"/>
        </w:rPr>
        <w:t>Tell staff now</w:t>
      </w:r>
      <w:r>
        <w:rPr>
          <w:rFonts w:ascii="Arial" w:hAnsi="Arial"/>
          <w:color w:val="102A43"/>
          <w:sz w:val="21"/>
        </w:rPr>
        <w:t xml:space="preserve"> Report any sudden worsening, marked reduction in response or immediate safety concern at once. If sudden confusion begins outside a care setting, in the UK call 999 or go to A&amp;E and do not drive yourself. Outside the UK, call your local emergency number or use your local emergency service.</w:t>
      </w:r>
    </w:p>
    <w:p>
      <w:pPr>
        <w:pStyle w:val="Heading2"/>
        <w:keepNext/>
      </w:pPr>
      <w:r>
        <w:t>Verified sources</w:t>
      </w:r>
    </w:p>
    <w:p>
      <w:pPr>
        <w:pStyle w:val="ListBullet"/>
        <w:spacing w:after="40"/>
      </w:pPr>
      <w:hyperlink r:id="rId11">
        <w:r>
          <w:rPr>
            <w:color w:val="244FC5"/>
            <w:u w:val="single"/>
          </w:rPr>
          <w:t>NHS inform: Supporting someone with delirium</w:t>
        </w:r>
      </w:hyperlink>
    </w:p>
    <w:p>
      <w:pPr>
        <w:pStyle w:val="ListBullet"/>
        <w:spacing w:after="40"/>
      </w:pPr>
      <w:hyperlink r:id="rId12">
        <w:r>
          <w:rPr>
            <w:color w:val="244FC5"/>
            <w:u w:val="single"/>
          </w:rPr>
          <w:t>NICE CG103: Communication, reorientation and family involvement</w:t>
        </w:r>
      </w:hyperlink>
    </w:p>
    <w:p>
      <w:pPr>
        <w:pStyle w:val="ListBullet"/>
        <w:spacing w:after="40"/>
      </w:pPr>
      <w:hyperlink r:id="rId13">
        <w:r>
          <w:rPr>
            <w:color w:val="244FC5"/>
            <w:u w:val="single"/>
          </w:rPr>
          <w:t>SIGN 157: Risk reduction and management of delirium</w:t>
        </w:r>
      </w:hyperlink>
    </w:p>
    <w:p>
      <w:pPr>
        <w:pStyle w:val="ListBullet"/>
        <w:spacing w:after="40"/>
      </w:pPr>
      <w:hyperlink r:id="rId14">
        <w:r>
          <w:rPr>
            <w:color w:val="244FC5"/>
            <w:u w:val="single"/>
          </w:rPr>
          <w:t>NHS: What to do while waiting for help</w:t>
        </w:r>
      </w:hyperlink>
    </w:p>
    <w:p>
      <w:pPr>
        <w:pStyle w:val="Heading2"/>
        <w:keepNext/>
      </w:pPr>
      <w:r>
        <w:t>Publication and local review</w:t>
      </w:r>
    </w:p>
    <w:p>
      <w:r>
        <w:rPr>
          <w:rFonts w:ascii="Arial" w:hAnsi="Arial"/>
        </w:rPr>
        <w:t>UK-focused general education. This editable file is supplied so a health or care organisation can add local contacts and pathways. Local edits may change clinical meaning and must be reviewed by an appropriately qualified named clinician before use. It does not replace individual assessment, current national guidance, local policy or formulary advice. Prepared from source materials curated by Professor Alasdair MacLullich, University of Edinburgh; AI-assisted production. Professor MacLullich led development of the 4AT and reports no financial interest in its uptake. Final named human clinical approval is required before use in patient care. Independent resource; not an official University of Edinburgh or NHS publication.</w:t>
      </w:r>
    </w:p>
    <w:sectPr w:rsidR="00FC693F" w:rsidRPr="0006063C" w:rsidSect="00034616">
      <w:headerReference w:type="default" r:id="rId9"/>
      <w:footerReference w:type="default" r:id="rId10"/>
      <w:pgSz w:w="11906" w:h="16838"/>
      <w:pgMar w:top="992" w:right="992" w:bottom="992" w:left="992"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751" w:val="right"/>
      </w:tabs>
    </w:pPr>
    <w:r>
      <w:rPr>
        <w:rFonts w:ascii="Arial" w:hAnsi="Arial"/>
        <w:color w:val="334E68"/>
        <w:sz w:val="15"/>
      </w:rPr>
      <w:t>deliriumdownloads.com · Template v0.9 · 7 August 2026 · Human clinical review required</w:t>
    </w:r>
    <w:r>
      <w:tab/>
    </w:r>
    <w:r>
      <w:rPr>
        <w:rFonts w:ascii="Arial" w:hAnsi="Arial"/>
        <w:color w:val="334E68"/>
        <w:sz w:val="15"/>
      </w:rPr>
      <w:t xml:space="preserve">Page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rial" w:hAnsi="Arial"/>
        <w:b/>
        <w:color w:val="334E68"/>
        <w:sz w:val="16"/>
      </w:rPr>
      <w:t>DELIRIUM DOWNLOADS  ·  EDITABLE LOCAL-ADAPTATION TEMPLATE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GB"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Arial" w:hAnsi="Arial"/>
      <w:color w:val="102A4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Georgia" w:hAnsi="Georgia"/>
      <w:b/>
      <w:bCs/>
      <w:color w:val="102A43"/>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Georgia" w:hAnsi="Georgia"/>
      <w:b/>
      <w:bCs/>
      <w:color w:val="102A43"/>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334E6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Arial" w:hAnsi="Arial"/>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www.nhsinform.scot/illnesses-and-conditions/brain-nerves-and-spinal-cord/delirium" TargetMode="External"/><Relationship Id="rId12" Type="http://schemas.openxmlformats.org/officeDocument/2006/relationships/hyperlink" Target="https://www.nice.org.uk/guidance/cg103/chapter/Recommendations" TargetMode="External"/><Relationship Id="rId13" Type="http://schemas.openxmlformats.org/officeDocument/2006/relationships/hyperlink" Target="https://www.sign.ac.uk/assets/sign157.pdf" TargetMode="External"/><Relationship Id="rId14" Type="http://schemas.openxmlformats.org/officeDocument/2006/relationships/hyperlink" Target="https://www.nhs.uk/symptoms/confusi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families can help at the bedside - editable local-adaptation template</dc:title>
  <dc:subject>Delirium education resource - human clinical review required</dc:subject>
  <dc:creator>Professor Alasdair MacLullich</dc:creator>
  <cp:keywords>delirium, local adaptation, clinical education</cp:keywords>
  <dc:description>AI-assisted production. Final named human clinical review required.</dc:description>
  <cp:lastModifiedBy/>
  <cp:revision>1</cp:revision>
  <dcterms:created xsi:type="dcterms:W3CDTF">2013-12-23T23:15:00Z</dcterms:created>
  <dcterms:modified xsi:type="dcterms:W3CDTF">2013-12-23T23:15:00Z</dcterms:modified>
  <cp:category/>
</cp:coreProperties>
</file>