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Delirium prevention: a tailored multicomponent plan</w:t>
      </w:r>
    </w:p>
    <w:p>
      <w:pPr>
        <w:spacing w:after="200"/>
      </w:pPr>
      <w:r>
        <w:rPr>
          <w:rFonts w:ascii="Arial" w:hAnsi="Arial"/>
          <w:b/>
          <w:color w:val="4F77FF"/>
          <w:sz w:val="17"/>
        </w:rPr>
        <w:t>INTENDED USE: CLINICAL TEAMS</w:t>
      </w:r>
    </w:p>
    <w:p>
      <w:pPr>
        <w:spacing w:after="240"/>
      </w:pPr>
      <w:r>
        <w:rPr>
          <w:rFonts w:ascii="Arial" w:hAnsi="Arial"/>
          <w:i/>
          <w:color w:val="334E68"/>
          <w:sz w:val="23"/>
        </w:rPr>
        <w:t>Help teams reduce delirium risk by addressing several modifiable factors together rather than relying on a single intervention.</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Identify risk and individual needs</w:t>
      </w:r>
    </w:p>
    <w:p>
      <w:pPr>
        <w:pStyle w:val="ListBullet"/>
      </w:pPr>
      <w:r>
        <w:rPr>
          <w:rFonts w:ascii="Arial" w:hAnsi="Arial"/>
        </w:rPr>
        <w:t>Be particularly alert where NICE risk factors are present: age 65 or over, cognitive impairment or dementia, hip fracture, or severe illness.</w:t>
      </w:r>
    </w:p>
    <w:p>
      <w:pPr>
        <w:pStyle w:val="ListBullet"/>
      </w:pPr>
      <w:r>
        <w:rPr>
          <w:rFonts w:ascii="Arial" w:hAnsi="Arial"/>
        </w:rPr>
        <w:t>Ask about previous delirium, usual cognition and function, sensory needs, medicines and the person’s normal routines.</w:t>
      </w:r>
    </w:p>
    <w:p>
      <w:pPr>
        <w:pStyle w:val="ListBullet"/>
      </w:pPr>
      <w:r>
        <w:rPr>
          <w:rFonts w:ascii="Arial" w:hAnsi="Arial"/>
        </w:rPr>
        <w:t>Assess modifiable contributors early and build a plan tailored to the person and care setting.</w:t>
      </w:r>
    </w:p>
    <w:p>
      <w:pPr>
        <w:pStyle w:val="Heading2"/>
        <w:keepNext/>
      </w:pPr>
      <w:r>
        <w:t>Support orientation and communication</w:t>
      </w:r>
    </w:p>
    <w:p>
      <w:pPr>
        <w:pStyle w:val="ListBullet"/>
      </w:pPr>
      <w:r>
        <w:rPr>
          <w:rFonts w:ascii="Arial" w:hAnsi="Arial"/>
        </w:rPr>
        <w:t>Explain the place, situation and team roles; make clocks, calendars and appropriate signs easy to see.</w:t>
      </w:r>
    </w:p>
    <w:p>
      <w:pPr>
        <w:pStyle w:val="ListBullet"/>
      </w:pPr>
      <w:r>
        <w:rPr>
          <w:rFonts w:ascii="Arial" w:hAnsi="Arial"/>
        </w:rPr>
        <w:t>Ensure glasses, hearing aids and communication support are available and working.</w:t>
      </w:r>
    </w:p>
    <w:p>
      <w:pPr>
        <w:pStyle w:val="ListBullet"/>
      </w:pPr>
      <w:r>
        <w:rPr>
          <w:rFonts w:ascii="Arial" w:hAnsi="Arial"/>
        </w:rPr>
        <w:t>Encourage familiar contact and involvement from family or carers where the person wishes and it is feasible.</w:t>
      </w:r>
    </w:p>
    <w:p>
      <w:pPr>
        <w:pStyle w:val="Heading2"/>
        <w:keepNext/>
      </w:pPr>
      <w:r>
        <w:t>Protect physiology and comfort</w:t>
      </w:r>
    </w:p>
    <w:p>
      <w:pPr>
        <w:pStyle w:val="ListBullet"/>
      </w:pPr>
      <w:r>
        <w:rPr>
          <w:rFonts w:ascii="Arial" w:hAnsi="Arial"/>
        </w:rPr>
        <w:t>Identify and address dehydration, constipation, hypoxia, infection, pain and poor nutrition.</w:t>
      </w:r>
    </w:p>
    <w:p>
      <w:pPr>
        <w:pStyle w:val="ListBullet"/>
      </w:pPr>
      <w:r>
        <w:rPr>
          <w:rFonts w:ascii="Arial" w:hAnsi="Arial"/>
        </w:rPr>
        <w:t>Review medicines with an experienced healthcare professional, including recent changes and cumulative burden.</w:t>
      </w:r>
    </w:p>
    <w:p>
      <w:pPr>
        <w:pStyle w:val="ListBullet"/>
      </w:pPr>
      <w:r>
        <w:rPr>
          <w:rFonts w:ascii="Arial" w:hAnsi="Arial"/>
        </w:rPr>
        <w:t>Minimise avoidable devices and interruptions while meeting the person’s clinical needs.</w:t>
      </w:r>
    </w:p>
    <w:p>
      <w:pPr>
        <w:pStyle w:val="Heading2"/>
        <w:keepNext/>
      </w:pPr>
      <w:r>
        <w:t>Protect mobility, sleep and familiarity</w:t>
      </w:r>
    </w:p>
    <w:p>
      <w:pPr>
        <w:pStyle w:val="ListBullet"/>
      </w:pPr>
      <w:r>
        <w:rPr>
          <w:rFonts w:ascii="Arial" w:hAnsi="Arial"/>
        </w:rPr>
        <w:t>Encourage appropriate mobilisation and active participation in care.</w:t>
      </w:r>
    </w:p>
    <w:p>
      <w:pPr>
        <w:pStyle w:val="ListBullet"/>
      </w:pPr>
      <w:r>
        <w:rPr>
          <w:rFonts w:ascii="Arial" w:hAnsi="Arial"/>
        </w:rPr>
        <w:t>Promote daytime light and activity, then reduce avoidable noise and disruption at night.</w:t>
      </w:r>
    </w:p>
    <w:p>
      <w:pPr>
        <w:pStyle w:val="ListBullet"/>
      </w:pPr>
      <w:r>
        <w:rPr>
          <w:rFonts w:ascii="Arial" w:hAnsi="Arial"/>
        </w:rPr>
        <w:t>Avoid unnecessary transfers between rooms or wards and maintain familiar staff and routines where possible.</w:t>
      </w:r>
    </w:p>
    <w:p>
      <w:pPr>
        <w:pStyle w:val="Heading2"/>
        <w:keepNext/>
      </w:pPr>
      <w:r>
        <w:t>Make prevention a team process</w:t>
      </w:r>
    </w:p>
    <w:p>
      <w:pPr>
        <w:pStyle w:val="ListBullet"/>
      </w:pPr>
      <w:r>
        <w:rPr>
          <w:rFonts w:ascii="Arial" w:hAnsi="Arial"/>
        </w:rPr>
        <w:t>Assign actions clearly across the multidisciplinary team, document a named owner and review them at an interval appropriate to the person and setting.</w:t>
      </w:r>
    </w:p>
    <w:p>
      <w:pPr>
        <w:pStyle w:val="ListBullet"/>
      </w:pPr>
      <w:r>
        <w:rPr>
          <w:rFonts w:ascii="Arial" w:hAnsi="Arial"/>
        </w:rPr>
        <w:t>Observe for new or fluctuating changes and record them.</w:t>
      </w:r>
    </w:p>
    <w:p>
      <w:pPr>
        <w:pStyle w:val="ListBullet"/>
      </w:pPr>
      <w:r>
        <w:rPr>
          <w:rFonts w:ascii="Arial" w:hAnsi="Arial"/>
        </w:rPr>
        <w:t>When indicators appear, move promptly from prevention to delirium assessment and clinical management.</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prevention is not treatment:</w:t>
      </w:r>
      <w:r>
        <w:rPr>
          <w:rFonts w:ascii="Arial" w:hAnsi="Arial"/>
          <w:color w:val="102A43"/>
          <w:sz w:val="21"/>
        </w:rPr>
        <w:t xml:space="preserve"> A prevention bundle must not delay assessment of a new change or treatment of an acute cause. If delirium is suspected, arrange the recommended assessment and clinical evaluation even if preventive measures are already in place.</w:t>
      </w:r>
    </w:p>
    <w:p>
      <w:pPr>
        <w:pStyle w:val="Heading2"/>
        <w:keepNext/>
      </w:pPr>
      <w:r>
        <w:t>Verified official sources</w:t>
      </w:r>
    </w:p>
    <w:p>
      <w:pPr>
        <w:pStyle w:val="ListBullet"/>
        <w:spacing w:after="40"/>
      </w:pPr>
      <w:hyperlink r:id="rId11">
        <w:r>
          <w:rPr>
            <w:color w:val="244FC5"/>
            <w:u w:val="single"/>
          </w:rPr>
          <w:t>NICE CG103: risk factors and tailored multicomponent prevention</w:t>
        </w:r>
      </w:hyperlink>
    </w:p>
    <w:p>
      <w:pPr>
        <w:pStyle w:val="ListBullet"/>
        <w:spacing w:after="40"/>
      </w:pPr>
      <w:hyperlink r:id="rId12">
        <w:r>
          <w:rPr>
            <w:color w:val="244FC5"/>
            <w:u w:val="single"/>
          </w:rPr>
          <w:t>SIGN 157 on Right Decisions: non-pharmacological risk reduction</w:t>
        </w:r>
      </w:hyperlink>
    </w:p>
    <w:p>
      <w:pPr>
        <w:pStyle w:val="ListBullet"/>
        <w:spacing w:after="40"/>
      </w:pPr>
      <w:hyperlink r:id="rId13">
        <w:r>
          <w:rPr>
            <w:color w:val="244FC5"/>
            <w:u w:val="single"/>
          </w:rPr>
          <w:t>SIGN 157 on Right Decisions: medicines optimisation</w:t>
        </w:r>
      </w:hyperlink>
    </w:p>
    <w:p>
      <w:pPr>
        <w:pStyle w:val="ListBullet"/>
        <w:spacing w:after="40"/>
      </w:pPr>
      <w:hyperlink r:id="rId14">
        <w:r>
          <w:rPr>
            <w:color w:val="244FC5"/>
            <w:u w:val="single"/>
          </w:rPr>
          <w:t>SIGN 157 guideline PDF</w:t>
        </w:r>
      </w:hyperlink>
    </w:p>
    <w:p>
      <w:pPr>
        <w:pStyle w:val="ListBullet"/>
        <w:spacing w:after="40"/>
      </w:pPr>
      <w:hyperlink r:id="rId15">
        <w:r>
          <w:rPr>
            <w:color w:val="244FC5"/>
            <w:u w:val="single"/>
          </w:rPr>
          <w:t>NHS inform: delirium risk and causes</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risk-reduction/non-pharmacological-risk-reduction/" TargetMode="External"/><Relationship Id="rId13" Type="http://schemas.openxmlformats.org/officeDocument/2006/relationships/hyperlink" Target="https://www.rightdecisions.scot.nhs.uk/risk-reduction-and-management-of-delirium-sign/risk-reduction/pharmacological-risk-reduction/" TargetMode="External"/><Relationship Id="rId14" Type="http://schemas.openxmlformats.org/officeDocument/2006/relationships/hyperlink" Target="https://www.rightdecisions.scot.nhs.uk/media/1728/sign-guidelines-delirium.pdf"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Delirium prevention: a tailored multicomponent plan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