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Medicines and delirium: review, prescribe cautiously, stop promptly</w:t>
      </w:r>
    </w:p>
    <w:p>
      <w:pPr>
        <w:spacing w:after="200"/>
      </w:pPr>
      <w:r>
        <w:rPr>
          <w:rFonts w:ascii="Arial" w:hAnsi="Arial"/>
          <w:b/>
          <w:color w:val="4F77FF"/>
          <w:sz w:val="17"/>
        </w:rPr>
        <w:t>INTENDED USE: PRESCRIBERS &amp; PHARMACISTS</w:t>
      </w:r>
    </w:p>
    <w:p>
      <w:pPr>
        <w:spacing w:after="240"/>
      </w:pPr>
      <w:r>
        <w:rPr>
          <w:rFonts w:ascii="Arial" w:hAnsi="Arial"/>
          <w:i/>
          <w:color w:val="334E68"/>
          <w:sz w:val="23"/>
        </w:rPr>
        <w:t>Support a safe medicines review when delirium may be caused or worsened by a medicine, a recent change or abrupt withdrawal, and when medication is being considered for severe distress.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Reconstruct what has changed</w:t>
      </w:r>
    </w:p>
    <w:p>
      <w:pPr>
        <w:pStyle w:val="ListBullet"/>
      </w:pPr>
      <w:r>
        <w:rPr>
          <w:rFonts w:ascii="Arial" w:hAnsi="Arial"/>
        </w:rPr>
        <w:t>Reconcile prescribed, non-prescription and complementary medicines as accurately as possible.</w:t>
      </w:r>
    </w:p>
    <w:p>
      <w:pPr>
        <w:pStyle w:val="ListBullet"/>
      </w:pPr>
      <w:r>
        <w:rPr>
          <w:rFonts w:ascii="Arial" w:hAnsi="Arial"/>
        </w:rPr>
        <w:t>Ask about recent starts, stops, dose changes, missed doses and possible withdrawal, including alcohol where relevant.</w:t>
      </w:r>
    </w:p>
    <w:p>
      <w:pPr>
        <w:pStyle w:val="ListBullet"/>
      </w:pPr>
      <w:r>
        <w:rPr>
          <w:rFonts w:ascii="Arial" w:hAnsi="Arial"/>
        </w:rPr>
        <w:t>Check what the person was actually taking before the change. Use family, carers, care records, pharmacy information and previous prescriptions where available.</w:t>
      </w:r>
    </w:p>
    <w:p>
      <w:pPr>
        <w:pStyle w:val="Heading2"/>
        <w:keepNext/>
      </w:pPr>
      <w:r>
        <w:t>Review benefit, burden and current physiology</w:t>
      </w:r>
    </w:p>
    <w:p>
      <w:pPr>
        <w:pStyle w:val="ListBullet"/>
      </w:pPr>
      <w:r>
        <w:rPr>
          <w:rFonts w:ascii="Arial" w:hAnsi="Arial"/>
        </w:rPr>
        <w:t>Arrange review by an experienced healthcare professional. Consider the type and number of medicines, interactions and cumulative effects.</w:t>
      </w:r>
    </w:p>
    <w:p>
      <w:pPr>
        <w:pStyle w:val="ListBullet"/>
      </w:pPr>
      <w:r>
        <w:rPr>
          <w:rFonts w:ascii="Arial" w:hAnsi="Arial"/>
        </w:rPr>
        <w:t>Reconsider medicines that may contribute to delirium, while also treating pain and other symptoms adequately. Untreated pain can itself contribute.</w:t>
      </w:r>
    </w:p>
    <w:p>
      <w:pPr>
        <w:pStyle w:val="ListBullet"/>
      </w:pPr>
      <w:r>
        <w:rPr>
          <w:rFonts w:ascii="Arial" w:hAnsi="Arial"/>
        </w:rPr>
        <w:t>Account for acute illness and changes in renal or hepatic function, hydration and other physiology that may alter medicine effects.</w:t>
      </w:r>
    </w:p>
    <w:p>
      <w:pPr>
        <w:pStyle w:val="Heading2"/>
        <w:keepNext/>
      </w:pPr>
      <w:r>
        <w:t>Make changes deliberately</w:t>
      </w:r>
    </w:p>
    <w:p>
      <w:pPr>
        <w:pStyle w:val="ListBullet"/>
      </w:pPr>
      <w:r>
        <w:rPr>
          <w:rFonts w:ascii="Arial" w:hAnsi="Arial"/>
        </w:rPr>
        <w:t>Continue, pause, reduce or stop a medicine only after considering its indication, current risk, withdrawal potential and the person's clinical state.</w:t>
      </w:r>
    </w:p>
    <w:p>
      <w:pPr>
        <w:pStyle w:val="ListBullet"/>
      </w:pPr>
      <w:r>
        <w:rPr>
          <w:rFonts w:ascii="Arial" w:hAnsi="Arial"/>
        </w:rPr>
        <w:t>Avoid abrupt withdrawal where this may cause harm. Use an appropriate taper or specialist advice when required.</w:t>
      </w:r>
    </w:p>
    <w:p>
      <w:pPr>
        <w:pStyle w:val="ListBullet"/>
      </w:pPr>
      <w:r>
        <w:rPr>
          <w:rFonts w:ascii="Arial" w:hAnsi="Arial"/>
        </w:rPr>
        <w:t>Record each change, the reason, intended duration, monitoring plan and who will review it. Follow the current local formulary, national guidance and product information.</w:t>
      </w:r>
    </w:p>
    <w:p>
      <w:pPr>
        <w:pStyle w:val="Heading2"/>
        <w:keepNext/>
      </w:pPr>
      <w:r>
        <w:t>If distress creates a medication question</w:t>
      </w:r>
    </w:p>
    <w:p>
      <w:pPr>
        <w:pStyle w:val="ListBullet"/>
      </w:pPr>
      <w:r>
        <w:rPr>
          <w:rFonts w:ascii="Arial" w:hAnsi="Arial"/>
        </w:rPr>
        <w:t>Treat causes of distress and use verbal and non-verbal de-escalation first where possible.</w:t>
      </w:r>
    </w:p>
    <w:p>
      <w:pPr>
        <w:pStyle w:val="ListBullet"/>
      </w:pPr>
      <w:r>
        <w:rPr>
          <w:rFonts w:ascii="Arial" w:hAnsi="Arial"/>
        </w:rPr>
        <w:t>Medication may be considered only after an individual clinical assessment when distress is severe or safety is compromised and non-drug measures are ineffective or inappropriate.</w:t>
      </w:r>
    </w:p>
    <w:p>
      <w:pPr>
        <w:pStyle w:val="ListBullet"/>
      </w:pPr>
      <w:r>
        <w:rPr>
          <w:rFonts w:ascii="Arial" w:hAnsi="Arial"/>
        </w:rPr>
        <w:t>Any prescription should be made by an appropriately qualified prescriber. Review the response and adverse effects frequently, and stop treatment as soon as the clinical situation allows.</w:t>
      </w:r>
    </w:p>
    <w:p>
      <w:pPr>
        <w:pStyle w:val="Heading2"/>
        <w:keepNext/>
      </w:pPr>
      <w:r>
        <w:t>Haloperidol safety checks</w:t>
      </w:r>
    </w:p>
    <w:p>
      <w:pPr>
        <w:pStyle w:val="ListBullet"/>
      </w:pPr>
      <w:r>
        <w:rPr>
          <w:rFonts w:ascii="Arial" w:hAnsi="Arial"/>
        </w:rPr>
        <w:t>Do not use haloperidol in Parkinson's disease or dementia with Lewy bodies. Check other contraindications and interactions in current product information.</w:t>
      </w:r>
    </w:p>
    <w:p>
      <w:pPr>
        <w:pStyle w:val="ListBullet"/>
      </w:pPr>
      <w:r>
        <w:rPr>
          <w:rFonts w:ascii="Arial" w:hAnsi="Arial"/>
        </w:rPr>
        <w:t>Before starting in an older person, the MHRA recommends a baseline ECG and correction of electrolyte disturbances. Assess QT risk and the need for further ECG and electrolyte monitoring individually.</w:t>
      </w:r>
    </w:p>
    <w:p>
      <w:pPr>
        <w:pStyle w:val="ListBullet"/>
      </w:pPr>
      <w:r>
        <w:rPr>
          <w:rFonts w:ascii="Arial" w:hAnsi="Arial"/>
        </w:rPr>
        <w:t>If haloperidol is used, prescribe the lowest clinically appropriate dose for the shortest possible time. Monitor for cardiac effects, orthostatic hypotension and extrapyramidal effects, including swallowing difficulty.</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this sheet contains no regimen:</w:t>
      </w:r>
      <w:r>
        <w:rPr>
          <w:rFonts w:ascii="Arial" w:hAnsi="Arial"/>
          <w:color w:val="102A43"/>
          <w:sz w:val="21"/>
        </w:rPr>
        <w:t xml:space="preserve"> It does not authorise a medicine, dose or route. Check current local and national prescribing guidance, the formulary and product information for the individual person. Haloperidol is contraindicated in Parkinson's disease and dementia with Lewy bodies; QT-related contraindications and interacting medicines also require specific review. Make an explicit stop or early-review plan.</w:t>
      </w:r>
    </w:p>
    <w:p>
      <w:pPr>
        <w:pStyle w:val="Heading2"/>
        <w:keepNext/>
      </w:pPr>
      <w:r>
        <w:t>Verified official sources</w:t>
      </w:r>
    </w:p>
    <w:p>
      <w:pPr>
        <w:pStyle w:val="ListBullet"/>
        <w:spacing w:after="40"/>
      </w:pPr>
      <w:hyperlink r:id="rId11">
        <w:r>
          <w:rPr>
            <w:color w:val="244FC5"/>
            <w:u w:val="single"/>
          </w:rPr>
          <w:t>NICE CG103: medication review and treatment of distress</w:t>
        </w:r>
      </w:hyperlink>
    </w:p>
    <w:p>
      <w:pPr>
        <w:pStyle w:val="ListBullet"/>
        <w:spacing w:after="40"/>
      </w:pPr>
      <w:hyperlink r:id="rId12">
        <w:r>
          <w:rPr>
            <w:color w:val="244FC5"/>
            <w:u w:val="single"/>
          </w:rPr>
          <w:t>SIGN 157 on Right Decisions: medicines optimisation</w:t>
        </w:r>
      </w:hyperlink>
    </w:p>
    <w:p>
      <w:pPr>
        <w:pStyle w:val="ListBullet"/>
        <w:spacing w:after="40"/>
      </w:pPr>
      <w:hyperlink r:id="rId13">
        <w:r>
          <w:rPr>
            <w:color w:val="244FC5"/>
            <w:u w:val="single"/>
          </w:rPr>
          <w:t>SIGN 157 on Right Decisions: pharmacological treatment</w:t>
        </w:r>
      </w:hyperlink>
    </w:p>
    <w:p>
      <w:pPr>
        <w:pStyle w:val="ListBullet"/>
        <w:spacing w:after="40"/>
      </w:pPr>
      <w:hyperlink r:id="rId14">
        <w:r>
          <w:rPr>
            <w:color w:val="244FC5"/>
            <w:u w:val="single"/>
          </w:rPr>
          <w:t>MHRA: haloperidol risks in older people with delirium</w:t>
        </w:r>
      </w:hyperlink>
    </w:p>
    <w:p>
      <w:pPr>
        <w:pStyle w:val="ListBullet"/>
        <w:spacing w:after="40"/>
      </w:pPr>
      <w:hyperlink r:id="rId15">
        <w:r>
          <w:rPr>
            <w:color w:val="244FC5"/>
            <w:u w:val="single"/>
          </w:rPr>
          <w:t>NHS inform: delirium causes and treatment</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risk-reduction/pharmacological-risk-reduction/" TargetMode="External"/><Relationship Id="rId13" Type="http://schemas.openxmlformats.org/officeDocument/2006/relationships/hyperlink" Target="https://www.rightdecisions.scot.nhs.uk/risk-reduction-and-management-of-delirium-sign/treatment/pharmacological-treatment/" TargetMode="External"/><Relationship Id="rId14" Type="http://schemas.openxmlformats.org/officeDocument/2006/relationships/hyperlink" Target="https://www.gov.uk/drug-safety-update/haloperidol-haldol-reminder-of-risks-when-used-in-elderly-patients-for-the-acute-treatment-of-delirium"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Medicines and delirium: review, prescribe cautiously, stop promptly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