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60"/>
        <w:shd w:fill="FFD9D4"/>
      </w:pPr>
      <w:r>
        <w:rPr>
          <w:rFonts w:ascii="Arial" w:hAnsi="Arial"/>
          <w:b/>
          <w:color w:val="102A43"/>
          <w:sz w:val="17"/>
        </w:rPr>
        <w:t>EDITABLE TEMPLATE  ·  CLINICAL REVIEW REQUIRED BEFORE USE</w:t>
      </w:r>
    </w:p>
    <w:p>
      <w:pPr>
        <w:spacing w:before="0" w:after="80"/>
      </w:pPr>
      <w:r>
        <w:rPr>
          <w:rFonts w:ascii="Georgia" w:hAnsi="Georgia"/>
          <w:b/>
          <w:color w:val="102A43"/>
          <w:sz w:val="46"/>
        </w:rPr>
        <w:t>How delirium is treated</w:t>
      </w:r>
    </w:p>
    <w:p>
      <w:pPr>
        <w:spacing w:after="200"/>
      </w:pPr>
      <w:r>
        <w:rPr>
          <w:rFonts w:ascii="Arial" w:hAnsi="Arial"/>
          <w:b/>
          <w:color w:val="4F77FF"/>
          <w:sz w:val="17"/>
        </w:rPr>
        <w:t>INTENDED USE: PATIENT &amp; FAMILY HANDOUT</w:t>
      </w:r>
    </w:p>
    <w:p>
      <w:pPr>
        <w:spacing w:after="240"/>
      </w:pPr>
      <w:r>
        <w:rPr>
          <w:rFonts w:ascii="Arial" w:hAnsi="Arial"/>
          <w:i/>
          <w:color w:val="334E68"/>
          <w:sz w:val="23"/>
        </w:rPr>
        <w:t>To describe the combined approach used to treat causes, support the person and reduce further stress on the brain.</w:t>
      </w:r>
    </w:p>
    <w:tbl>
      <w:tblPr>
        <w:tblStyle w:val="TableGrid"/>
        <w:tblW w:type="dxa" w:w="9920"/>
        <w:jc w:val="left"/>
        <w:tblLayout w:type="fixed"/>
        <w:tblLook w:firstColumn="1" w:firstRow="1" w:lastColumn="0" w:lastRow="0" w:noHBand="0" w:noVBand="1" w:val="04A0"/>
        <w:tblInd w:w="120" w:type="dxa"/>
      </w:tblPr>
      <w:tblGrid>
        <w:gridCol w:w="2500"/>
        <w:gridCol w:w="7420"/>
      </w:tblGrid>
      <w:tr>
        <w:trPr>
          <w:tblHeader w:val="true"/>
        </w:trPr>
        <w:tc>
          <w:tcPr>
            <w:tcW w:type="dxa" w:w="9920"/>
            <w:gridSpan w:val="2"/>
            <w:tcMar>
              <w:top w:w="100" w:type="dxa"/>
              <w:start w:w="120" w:type="dxa"/>
              <w:bottom w:w="100" w:type="dxa"/>
              <w:end w:w="120" w:type="dxa"/>
            </w:tcMar>
            <w:shd w:fill="C9F45B"/>
            <w:vAlign w:val="center"/>
          </w:tcPr>
          <w:p>
            <w:r>
              <w:rPr>
                <w:rFonts w:ascii="Arial" w:hAnsi="Arial"/>
                <w:b/>
                <w:color w:val="102A43"/>
                <w:sz w:val="18"/>
              </w:rPr>
              <w:t>LOCAL ADAPTATION FIELDS - replace highlighted text before use</w:t>
            </w:r>
          </w:p>
        </w:tc>
      </w:tr>
      <w:tr>
        <w:tc>
          <w:tcPr>
            <w:tcW w:type="dxa" w:w="2500"/>
            <w:tcMar>
              <w:top w:w="100" w:type="dxa"/>
              <w:start w:w="120" w:type="dxa"/>
              <w:bottom w:w="100" w:type="dxa"/>
              <w:end w:w="120" w:type="dxa"/>
            </w:tcMar>
            <w:vAlign w:val="center"/>
            <w:shd w:fill="EEF2F5"/>
          </w:tcPr>
          <w:p>
            <w:r>
              <w:rPr>
                <w:rFonts w:ascii="Arial" w:hAnsi="Arial"/>
                <w:b/>
                <w:color w:val="102A43"/>
                <w:sz w:val="18"/>
              </w:rPr>
              <w:t>Organisation / service</w:t>
            </w:r>
          </w:p>
        </w:tc>
        <w:tc>
          <w:tcPr>
            <w:tcW w:type="dxa" w:w="7420"/>
            <w:tcMar>
              <w:top w:w="100" w:type="dxa"/>
              <w:start w:w="120" w:type="dxa"/>
              <w:bottom w:w="100" w:type="dxa"/>
              <w:end w:w="120" w:type="dxa"/>
            </w:tcMar>
            <w:vAlign w:val="center"/>
            <w:shd w:fill="FFFDF8"/>
          </w:tcPr>
          <w:p>
            <w:r>
              <w:rPr>
                <w:rFonts w:ascii="Arial" w:hAnsi="Arial"/>
                <w:i/>
                <w:color w:val="334E68"/>
                <w:sz w:val="18"/>
              </w:rPr>
              <w:t>[ADD LOCAL NAME OR LOGO]</w:t>
            </w:r>
          </w:p>
        </w:tc>
      </w:tr>
      <w:tr>
        <w:tc>
          <w:tcPr>
            <w:tcW w:type="dxa" w:w="2500"/>
            <w:tcMar>
              <w:top w:w="100" w:type="dxa"/>
              <w:start w:w="120" w:type="dxa"/>
              <w:bottom w:w="100" w:type="dxa"/>
              <w:end w:w="120" w:type="dxa"/>
            </w:tcMar>
            <w:vAlign w:val="center"/>
            <w:shd w:fill="EEF2F5"/>
          </w:tcPr>
          <w:p>
            <w:r>
              <w:rPr>
                <w:rFonts w:ascii="Arial" w:hAnsi="Arial"/>
                <w:b/>
                <w:color w:val="102A43"/>
                <w:sz w:val="18"/>
              </w:rPr>
              <w:t>Clinical lead / owner</w:t>
            </w:r>
          </w:p>
        </w:tc>
        <w:tc>
          <w:tcPr>
            <w:tcW w:type="dxa" w:w="7420"/>
            <w:tcMar>
              <w:top w:w="100" w:type="dxa"/>
              <w:start w:w="120" w:type="dxa"/>
              <w:bottom w:w="100" w:type="dxa"/>
              <w:end w:w="120" w:type="dxa"/>
            </w:tcMar>
            <w:vAlign w:val="center"/>
            <w:shd w:fill="FFFDF8"/>
          </w:tcPr>
          <w:p>
            <w:r>
              <w:rPr>
                <w:rFonts w:ascii="Arial" w:hAnsi="Arial"/>
                <w:i/>
                <w:color w:val="334E68"/>
                <w:sz w:val="18"/>
              </w:rPr>
              <w:t>[ADD NAME, ROLE AND CONTACT]</w:t>
            </w:r>
          </w:p>
        </w:tc>
      </w:tr>
      <w:tr>
        <w:tc>
          <w:tcPr>
            <w:tcW w:type="dxa" w:w="2500"/>
            <w:tcMar>
              <w:top w:w="100" w:type="dxa"/>
              <w:start w:w="120" w:type="dxa"/>
              <w:bottom w:w="100" w:type="dxa"/>
              <w:end w:w="120" w:type="dxa"/>
            </w:tcMar>
            <w:vAlign w:val="center"/>
            <w:shd w:fill="EEF2F5"/>
          </w:tcPr>
          <w:p>
            <w:r>
              <w:rPr>
                <w:rFonts w:ascii="Arial" w:hAnsi="Arial"/>
                <w:b/>
                <w:color w:val="102A43"/>
                <w:sz w:val="18"/>
              </w:rPr>
              <w:t>Escalation or referral route</w:t>
            </w:r>
          </w:p>
        </w:tc>
        <w:tc>
          <w:tcPr>
            <w:tcW w:type="dxa" w:w="7420"/>
            <w:tcMar>
              <w:top w:w="100" w:type="dxa"/>
              <w:start w:w="120" w:type="dxa"/>
              <w:bottom w:w="100" w:type="dxa"/>
              <w:end w:w="120" w:type="dxa"/>
            </w:tcMar>
            <w:vAlign w:val="center"/>
            <w:shd w:fill="FFFDF8"/>
          </w:tcPr>
          <w:p>
            <w:r>
              <w:rPr>
                <w:rFonts w:ascii="Arial" w:hAnsi="Arial"/>
                <w:i/>
                <w:color w:val="334E68"/>
                <w:sz w:val="18"/>
              </w:rPr>
              <w:t>[ADD LOCAL ROUTE AND TELEPHONE / BLEEP DETAILS]</w:t>
            </w:r>
          </w:p>
        </w:tc>
      </w:tr>
      <w:tr>
        <w:tc>
          <w:tcPr>
            <w:tcW w:type="dxa" w:w="2500"/>
            <w:tcMar>
              <w:top w:w="100" w:type="dxa"/>
              <w:start w:w="120" w:type="dxa"/>
              <w:bottom w:w="100" w:type="dxa"/>
              <w:end w:w="120" w:type="dxa"/>
            </w:tcMar>
            <w:vAlign w:val="center"/>
            <w:shd w:fill="EEF2F5"/>
          </w:tcPr>
          <w:p>
            <w:r>
              <w:rPr>
                <w:rFonts w:ascii="Arial" w:hAnsi="Arial"/>
                <w:b/>
                <w:color w:val="102A43"/>
                <w:sz w:val="18"/>
              </w:rPr>
              <w:t>Local policy / review note</w:t>
            </w:r>
          </w:p>
        </w:tc>
        <w:tc>
          <w:tcPr>
            <w:tcW w:type="dxa" w:w="7420"/>
            <w:tcMar>
              <w:top w:w="100" w:type="dxa"/>
              <w:start w:w="120" w:type="dxa"/>
              <w:bottom w:w="100" w:type="dxa"/>
              <w:end w:w="120" w:type="dxa"/>
            </w:tcMar>
            <w:vAlign w:val="center"/>
            <w:shd w:fill="FFFDF8"/>
          </w:tcPr>
          <w:p>
            <w:r>
              <w:rPr>
                <w:rFonts w:ascii="Arial" w:hAnsi="Arial"/>
                <w:i/>
                <w:color w:val="334E68"/>
                <w:sz w:val="18"/>
              </w:rPr>
              <w:t>[ADD POLICY LINK, FORMULARY NOTE OR NEXT REVIEW DATE]</w:t>
            </w:r>
          </w:p>
        </w:tc>
      </w:tr>
    </w:tbl>
    <w:p>
      <w:pPr>
        <w:spacing w:after="80"/>
      </w:pPr>
    </w:p>
    <w:p>
      <w:pPr>
        <w:pStyle w:val="Heading2"/>
        <w:keepNext/>
      </w:pPr>
      <w:r>
        <w:t>There is no single treatment plan</w:t>
      </w:r>
    </w:p>
    <w:p>
      <w:r>
        <w:rPr>
          <w:rFonts w:ascii="Arial" w:hAnsi="Arial"/>
        </w:rPr>
        <w:t>Care should be tailored to the person. The clinical team should identify and manage the likely cause or combination of causes, then review the person's response.</w:t>
      </w:r>
    </w:p>
    <w:p>
      <w:pPr>
        <w:pStyle w:val="Heading2"/>
        <w:keepNext/>
      </w:pPr>
      <w:r>
        <w:t>Treat possible causes</w:t>
      </w:r>
    </w:p>
    <w:p>
      <w:r>
        <w:rPr>
          <w:rFonts w:ascii="Arial" w:hAnsi="Arial"/>
        </w:rPr>
        <w:t>Depending on the assessment, care may include treating an illness, correcting low oxygen or another body disturbance, relieving pain, managing constipation or difficulty passing urine, and reviewing medicines. Tests and treatments should be chosen for the individual rather than applied automatically.</w:t>
      </w:r>
    </w:p>
    <w:p>
      <w:pPr>
        <w:pStyle w:val="Heading2"/>
        <w:keepNext/>
      </w:pPr>
      <w:r>
        <w:t>Support the body and brain</w:t>
      </w:r>
    </w:p>
    <w:p>
      <w:pPr>
        <w:pStyle w:val="ListBullet"/>
      </w:pPr>
      <w:r>
        <w:rPr>
          <w:rFonts w:ascii="Arial" w:hAnsi="Arial"/>
        </w:rPr>
        <w:t>Offer suitable food and fluids, following any swallowing advice or fluid restriction.</w:t>
      </w:r>
    </w:p>
    <w:p>
      <w:pPr>
        <w:pStyle w:val="ListBullet"/>
      </w:pPr>
      <w:r>
        <w:rPr>
          <w:rFonts w:ascii="Arial" w:hAnsi="Arial"/>
        </w:rPr>
        <w:t>Support safe movement and avoid unnecessary time in bed.</w:t>
      </w:r>
    </w:p>
    <w:p>
      <w:pPr>
        <w:pStyle w:val="ListBullet"/>
      </w:pPr>
      <w:r>
        <w:rPr>
          <w:rFonts w:ascii="Arial" w:hAnsi="Arial"/>
        </w:rPr>
        <w:t>Make glasses, hearing aids and dentures available when appropriate.</w:t>
      </w:r>
    </w:p>
    <w:p>
      <w:pPr>
        <w:pStyle w:val="ListBullet"/>
      </w:pPr>
      <w:r>
        <w:rPr>
          <w:rFonts w:ascii="Arial" w:hAnsi="Arial"/>
        </w:rPr>
        <w:t>Reduce avoidable noise and disruption, especially around sleep.</w:t>
      </w:r>
    </w:p>
    <w:p>
      <w:pPr>
        <w:pStyle w:val="ListBullet"/>
      </w:pPr>
      <w:r>
        <w:rPr>
          <w:rFonts w:ascii="Arial" w:hAnsi="Arial"/>
        </w:rPr>
        <w:t>Use familiar staff, surroundings and routines where possible, and avoid unnecessary moves.</w:t>
      </w:r>
    </w:p>
    <w:p>
      <w:pPr>
        <w:pStyle w:val="Heading2"/>
        <w:keepNext/>
      </w:pPr>
      <w:r>
        <w:t>Reduce confusion and distress</w:t>
      </w:r>
    </w:p>
    <w:p>
      <w:r>
        <w:rPr>
          <w:rFonts w:ascii="Arial" w:hAnsi="Arial"/>
        </w:rPr>
        <w:t>Staff and family can explain where the person is and what is happening, using calm and simple language. A clock, calendar and familiar objects may help. If the person is distressed or at risk, staff should first try calm reassurance, simple choices, reducing noise and giving the person space. Decisions about medicines require individual clinical assessment.</w:t>
      </w:r>
    </w:p>
    <w:p>
      <w:pPr>
        <w:pStyle w:val="Heading2"/>
        <w:keepNext/>
      </w:pPr>
      <w:r>
        <w:t>Questions families can ask</w:t>
      </w:r>
    </w:p>
    <w:p>
      <w:pPr>
        <w:pStyle w:val="ListBullet"/>
      </w:pPr>
      <w:r>
        <w:rPr>
          <w:rFonts w:ascii="Arial" w:hAnsi="Arial"/>
        </w:rPr>
        <w:t>What causes are being treated or still investigated?</w:t>
      </w:r>
    </w:p>
    <w:p>
      <w:pPr>
        <w:pStyle w:val="ListBullet"/>
      </w:pPr>
      <w:r>
        <w:rPr>
          <w:rFonts w:ascii="Arial" w:hAnsi="Arial"/>
        </w:rPr>
        <w:t>What is the plan for pain, fluids, nutrition, mobility, sleep and sensory aids?</w:t>
      </w:r>
    </w:p>
    <w:p>
      <w:pPr>
        <w:pStyle w:val="ListBullet"/>
      </w:pPr>
      <w:r>
        <w:rPr>
          <w:rFonts w:ascii="Arial" w:hAnsi="Arial"/>
        </w:rPr>
        <w:t>How can family members help safely?</w:t>
      </w:r>
    </w:p>
    <w:p>
      <w:pPr>
        <w:pStyle w:val="ListBullet"/>
      </w:pPr>
      <w:r>
        <w:rPr>
          <w:rFonts w:ascii="Arial" w:hAnsi="Arial"/>
        </w:rPr>
        <w:t>Has delirium been recorded and communicated to the wider care team?</w:t>
      </w:r>
    </w:p>
    <w:p>
      <w:pPr>
        <w:spacing w:before="80" w:after="140"/>
        <w:ind w:left="120" w:right="120"/>
        <w:shd w:fill="FFD9D4"/>
        <w:pBdr>
          <w:top w:val="single" w:sz="10" w:space="5" w:color="102A43"/>
          <w:left w:val="single" w:sz="10" w:space="5" w:color="102A43"/>
          <w:bottom w:val="single" w:sz="10" w:space="5" w:color="102A43"/>
          <w:right w:val="single" w:sz="10" w:space="5" w:color="102A43"/>
        </w:pBdr>
      </w:pPr>
      <w:r>
        <w:rPr>
          <w:rFonts w:ascii="Arial" w:hAnsi="Arial"/>
          <w:b/>
          <w:color w:val="102A43"/>
          <w:sz w:val="21"/>
        </w:rPr>
        <w:t>Urgent action</w:t>
      </w:r>
      <w:r>
        <w:rPr>
          <w:rFonts w:ascii="Arial" w:hAnsi="Arial"/>
          <w:color w:val="102A43"/>
          <w:sz w:val="21"/>
        </w:rPr>
        <w:t xml:space="preserve"> New, sudden confusion at home needs emergency assessment. In the UK, call 999 or go to A&amp;E now and do not drive yourself. If a person already receiving care suddenly worsens, becomes much less responsive or causes immediate concern, alert staff at once. Outside the UK, use your local emergency number or emergency service.</w:t>
      </w:r>
    </w:p>
    <w:p>
      <w:pPr>
        <w:pStyle w:val="Heading2"/>
        <w:keepNext/>
      </w:pPr>
      <w:r>
        <w:t>Verified sources</w:t>
      </w:r>
    </w:p>
    <w:p>
      <w:pPr>
        <w:pStyle w:val="ListBullet"/>
        <w:spacing w:after="40"/>
      </w:pPr>
      <w:hyperlink r:id="rId11">
        <w:r>
          <w:rPr>
            <w:color w:val="244FC5"/>
            <w:u w:val="single"/>
          </w:rPr>
          <w:t>NHS: Sudden confusion (delirium)</w:t>
        </w:r>
      </w:hyperlink>
    </w:p>
    <w:p>
      <w:pPr>
        <w:pStyle w:val="ListBullet"/>
        <w:spacing w:after="40"/>
      </w:pPr>
      <w:hyperlink r:id="rId12">
        <w:r>
          <w:rPr>
            <w:color w:val="244FC5"/>
            <w:u w:val="single"/>
          </w:rPr>
          <w:t>NHS inform: Treatment and recovery from delirium</w:t>
        </w:r>
      </w:hyperlink>
    </w:p>
    <w:p>
      <w:pPr>
        <w:pStyle w:val="ListBullet"/>
        <w:spacing w:after="40"/>
      </w:pPr>
      <w:hyperlink r:id="rId13">
        <w:r>
          <w:rPr>
            <w:color w:val="244FC5"/>
            <w:u w:val="single"/>
          </w:rPr>
          <w:t>NICE CG103: Treating delirium</w:t>
        </w:r>
      </w:hyperlink>
    </w:p>
    <w:p>
      <w:pPr>
        <w:pStyle w:val="ListBullet"/>
        <w:spacing w:after="40"/>
      </w:pPr>
      <w:hyperlink r:id="rId14">
        <w:r>
          <w:rPr>
            <w:color w:val="244FC5"/>
            <w:u w:val="single"/>
          </w:rPr>
          <w:t>SIGN 157: Risk reduction and management of delirium</w:t>
        </w:r>
      </w:hyperlink>
    </w:p>
    <w:p>
      <w:pPr>
        <w:pStyle w:val="Heading2"/>
        <w:keepNext/>
      </w:pPr>
      <w:r>
        <w:t>Publication and local review</w:t>
      </w:r>
    </w:p>
    <w:p>
      <w:r>
        <w:rPr>
          <w:rFonts w:ascii="Arial" w:hAnsi="Arial"/>
        </w:rPr>
        <w:t>UK-focused general education. This editable file is supplied so a health or care organisation can add local contacts and pathways. Local edits may change clinical meaning and must be reviewed by an appropriately qualified named clinician before use. It does not replace individual assessment, current national guidance, local policy or formulary advice. Prepared from source materials curated by Professor Alasdair MacLullich, University of Edinburgh; AI-assisted production. Professor MacLullich led development of the 4AT and reports no financial interest in its uptake. Final named human clinical approval is required before use in patient care. Independent resource; not an official University of Edinburgh or NHS publication.</w:t>
      </w:r>
    </w:p>
    <w:sectPr w:rsidR="00FC693F" w:rsidRPr="0006063C" w:rsidSect="00034616">
      <w:headerReference w:type="default" r:id="rId9"/>
      <w:footerReference w:type="default" r:id="rId10"/>
      <w:pgSz w:w="11906" w:h="16838"/>
      <w:pgMar w:top="992" w:right="992" w:bottom="992" w:left="99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751" w:val="right"/>
      </w:tabs>
    </w:pPr>
    <w:r>
      <w:rPr>
        <w:rFonts w:ascii="Arial" w:hAnsi="Arial"/>
        <w:color w:val="334E68"/>
        <w:sz w:val="15"/>
      </w:rPr>
      <w:t>deliriumdownloads.com · Template v0.9 · 7 August 2026 · Human clinical review required</w:t>
    </w:r>
    <w:r>
      <w:tab/>
    </w:r>
    <w:r>
      <w:rPr>
        <w:rFonts w:ascii="Arial" w:hAnsi="Arial"/>
        <w:color w:val="334E68"/>
        <w:sz w:val="15"/>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b/>
        <w:color w:val="334E68"/>
        <w:sz w:val="16"/>
      </w:rPr>
      <w:t>DELIRIUM DOWNLOADS  ·  EDITABLE LOCAL-ADAPTATION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Arial" w:hAnsi="Arial"/>
      <w:color w:val="102A4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Georgia" w:hAnsi="Georgia"/>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Georgia" w:hAnsi="Georgia"/>
      <w:b/>
      <w:bCs/>
      <w:color w:val="102A4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334E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Arial" w:hAnsi="Arial"/>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hs.uk/symptoms/confusion/" TargetMode="External"/><Relationship Id="rId12" Type="http://schemas.openxmlformats.org/officeDocument/2006/relationships/hyperlink" Target="https://www.nhsinform.scot/illnesses-and-conditions/brain-nerves-and-spinal-cord/delirium" TargetMode="External"/><Relationship Id="rId13" Type="http://schemas.openxmlformats.org/officeDocument/2006/relationships/hyperlink" Target="https://www.nice.org.uk/guidance/cg103/chapter/Recommendations" TargetMode="External"/><Relationship Id="rId14" Type="http://schemas.openxmlformats.org/officeDocument/2006/relationships/hyperlink" Target="https://www.sign.ac.uk/assets/sign157.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delirium is treated - editable local-adaptation template</dc:title>
  <dc:subject>Delirium education resource - human clinical review required</dc:subject>
  <dc:creator>Professor Alasdair MacLullich</dc:creator>
  <cp:keywords>delirium, local adaptation, clinical education</cp:keywords>
  <dc:description>AI-assisted production. Final named human clinical review required.</dc:description>
  <cp:lastModifiedBy/>
  <cp:revision>1</cp:revision>
  <dcterms:created xsi:type="dcterms:W3CDTF">2013-12-23T23:15:00Z</dcterms:created>
  <dcterms:modified xsi:type="dcterms:W3CDTF">2013-12-23T23:15:00Z</dcterms:modified>
  <cp:category/>
</cp:coreProperties>
</file>