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After delirium: preparing for recovery and follow-up</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help patients and families know what to ask, what support may be useful and when a new change is urgent.</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Recovery is individual</w:t>
      </w:r>
    </w:p>
    <w:p>
      <w:r>
        <w:rPr>
          <w:rFonts w:ascii="Arial" w:hAnsi="Arial"/>
        </w:rPr>
        <w:t>The pattern of recovery varies. Some people have gaps in memory or remember frightening experiences. Concentration, sleep, mood, confidence, appetite, mobility or ability to manage everyday tasks may also be affected. Avoid setting a fixed recovery timetable.</w:t>
      </w:r>
    </w:p>
    <w:p>
      <w:pPr>
        <w:pStyle w:val="Heading2"/>
        <w:keepNext/>
      </w:pPr>
      <w:r>
        <w:t>Before leaving hospital or care</w:t>
      </w:r>
    </w:p>
    <w:p>
      <w:r>
        <w:rPr>
          <w:rFonts w:ascii="Arial" w:hAnsi="Arial"/>
        </w:rPr>
        <w:t>Ask for:</w:t>
      </w:r>
    </w:p>
    <w:p>
      <w:pPr>
        <w:pStyle w:val="ListBullet"/>
      </w:pPr>
      <w:r>
        <w:rPr>
          <w:rFonts w:ascii="Arial" w:hAnsi="Arial"/>
        </w:rPr>
        <w:t>A clear explanation of the likely causes, treatment given and any unresolved questions</w:t>
      </w:r>
    </w:p>
    <w:p>
      <w:pPr>
        <w:pStyle w:val="ListBullet"/>
      </w:pPr>
      <w:r>
        <w:rPr>
          <w:rFonts w:ascii="Arial" w:hAnsi="Arial"/>
        </w:rPr>
        <w:t>Confirmation that delirium is included in the clinical record and discharge information</w:t>
      </w:r>
    </w:p>
    <w:p>
      <w:pPr>
        <w:pStyle w:val="ListBullet"/>
      </w:pPr>
      <w:r>
        <w:rPr>
          <w:rFonts w:ascii="Arial" w:hAnsi="Arial"/>
        </w:rPr>
        <w:t>An up-to-date medicines list and explanation of any changes</w:t>
      </w:r>
    </w:p>
    <w:p>
      <w:pPr>
        <w:pStyle w:val="ListBullet"/>
      </w:pPr>
      <w:r>
        <w:rPr>
          <w:rFonts w:ascii="Arial" w:hAnsi="Arial"/>
        </w:rPr>
        <w:t>A plan for follow-up, rehabilitation, mobility, nutrition or other support</w:t>
      </w:r>
    </w:p>
    <w:p>
      <w:pPr>
        <w:pStyle w:val="ListBullet"/>
      </w:pPr>
      <w:r>
        <w:rPr>
          <w:rFonts w:ascii="Arial" w:hAnsi="Arial"/>
        </w:rPr>
        <w:t>A contact point for questions or continuing concerns</w:t>
      </w:r>
    </w:p>
    <w:p>
      <w:pPr>
        <w:pStyle w:val="Heading2"/>
        <w:keepNext/>
      </w:pPr>
      <w:r>
        <w:t>Supporting recovery at home</w:t>
      </w:r>
    </w:p>
    <w:p>
      <w:pPr>
        <w:pStyle w:val="ListBullet"/>
      </w:pPr>
      <w:r>
        <w:rPr>
          <w:rFonts w:ascii="Arial" w:hAnsi="Arial"/>
        </w:rPr>
        <w:t>Return to a calm, familiar routine where possible.</w:t>
      </w:r>
    </w:p>
    <w:p>
      <w:pPr>
        <w:pStyle w:val="ListBullet"/>
      </w:pPr>
      <w:r>
        <w:rPr>
          <w:rFonts w:ascii="Arial" w:hAnsi="Arial"/>
        </w:rPr>
        <w:t>Keep glasses, hearing aids, a clock and a calendar available.</w:t>
      </w:r>
    </w:p>
    <w:p>
      <w:pPr>
        <w:pStyle w:val="ListBullet"/>
      </w:pPr>
      <w:r>
        <w:rPr>
          <w:rFonts w:ascii="Arial" w:hAnsi="Arial"/>
        </w:rPr>
        <w:t>Follow the agreed plan for medicines, food, fluids, activity and rest.</w:t>
      </w:r>
    </w:p>
    <w:p>
      <w:pPr>
        <w:pStyle w:val="ListBullet"/>
      </w:pPr>
      <w:r>
        <w:rPr>
          <w:rFonts w:ascii="Arial" w:hAnsi="Arial"/>
        </w:rPr>
        <w:t>Notice and record any important changes to discuss with the healthcare team.</w:t>
      </w:r>
    </w:p>
    <w:p>
      <w:pPr>
        <w:pStyle w:val="ListBullet"/>
      </w:pPr>
      <w:r>
        <w:rPr>
          <w:rFonts w:ascii="Arial" w:hAnsi="Arial"/>
        </w:rPr>
        <w:t>Arrange practical support if the person is not yet managing their usual tasks safely.</w:t>
      </w:r>
    </w:p>
    <w:p>
      <w:pPr>
        <w:pStyle w:val="Heading2"/>
        <w:keepNext/>
      </w:pPr>
      <w:r>
        <w:t>Talking about what happened</w:t>
      </w:r>
    </w:p>
    <w:p>
      <w:r>
        <w:rPr>
          <w:rFonts w:ascii="Arial" w:hAnsi="Arial"/>
        </w:rPr>
        <w:t>If the person wants to talk, listen without forcing them to remember. Acknowledge that the experience may have felt real and frightening. The clinical team may be able to help explain events and fill in gaps.</w:t>
      </w:r>
    </w:p>
    <w:p>
      <w:pPr>
        <w:pStyle w:val="Heading2"/>
        <w:keepNext/>
      </w:pPr>
      <w:r>
        <w:t>When to ask for help</w:t>
      </w:r>
    </w:p>
    <w:p>
      <w:r>
        <w:rPr>
          <w:rFonts w:ascii="Arial" w:hAnsi="Arial"/>
        </w:rPr>
        <w:t>Contact the GP or relevant healthcare team about continuing or worsening concerns that are not sudden. Ask who will review thinking and memory, mood, sleep, mobility or daily function if these remain affected.</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A new episode of sudden confusion needs immediate assessment, even after a previous delirium. In the UK, call 999 or go to A&amp;E now and do not drive yourself. If the person is already in hospital or a care home, tell staff immediately.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inform: Treatment and recovery from delirium</w:t>
        </w:r>
      </w:hyperlink>
    </w:p>
    <w:p>
      <w:pPr>
        <w:pStyle w:val="ListBullet"/>
        <w:spacing w:after="40"/>
      </w:pPr>
      <w:hyperlink r:id="rId12">
        <w:r>
          <w:rPr>
            <w:color w:val="244FC5"/>
            <w:u w:val="single"/>
          </w:rPr>
          <w:t>NICE CG103: Information, support and documentation</w:t>
        </w:r>
      </w:hyperlink>
    </w:p>
    <w:p>
      <w:pPr>
        <w:pStyle w:val="ListBullet"/>
        <w:spacing w:after="40"/>
      </w:pPr>
      <w:hyperlink r:id="rId13">
        <w:r>
          <w:rPr>
            <w:color w:val="244FC5"/>
            <w:u w:val="single"/>
          </w:rPr>
          <w:t>SIGN 157: Risk reduction and management of delirium</w:t>
        </w:r>
      </w:hyperlink>
    </w:p>
    <w:p>
      <w:pPr>
        <w:pStyle w:val="ListBullet"/>
        <w:spacing w:after="40"/>
      </w:pPr>
      <w:hyperlink r:id="rId14">
        <w:r>
          <w:rPr>
            <w:color w:val="244FC5"/>
            <w:u w:val="single"/>
          </w:rPr>
          <w:t>NHS: Sudden confusion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inform.scot/illnesses-and-conditions/brain-nerves-and-spinal-cord/delirium" TargetMode="External"/><Relationship Id="rId12" Type="http://schemas.openxmlformats.org/officeDocument/2006/relationships/hyperlink" Target="https://www.nice.org.uk/guidance/cg103/chapter/Recommendations" TargetMode="External"/><Relationship Id="rId13" Type="http://schemas.openxmlformats.org/officeDocument/2006/relationships/hyperlink" Target="https://www.sign.ac.uk/assets/sign157.pdf" TargetMode="External"/><Relationship Id="rId14" Type="http://schemas.openxmlformats.org/officeDocument/2006/relationships/hyperlink" Target="https://www.nhs.uk/symptoms/confu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delirium: preparing for recovery and follow-up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