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A positive 4AT is the start of the assessment</w:t>
      </w:r>
    </w:p>
    <w:p>
      <w:pPr>
        <w:spacing w:after="200"/>
      </w:pPr>
      <w:r>
        <w:rPr>
          <w:rFonts w:ascii="Arial" w:hAnsi="Arial"/>
          <w:b/>
          <w:color w:val="4F77FF"/>
          <w:sz w:val="17"/>
        </w:rPr>
        <w:t>INTENDED USE: CLINICAL TEAMS</w:t>
      </w:r>
    </w:p>
    <w:p>
      <w:pPr>
        <w:spacing w:after="240"/>
      </w:pPr>
      <w:r>
        <w:rPr>
          <w:rFonts w:ascii="Arial" w:hAnsi="Arial"/>
          <w:i/>
          <w:color w:val="334E68"/>
          <w:sz w:val="23"/>
        </w:rPr>
        <w:t>Turn a 4AT result suggesting possible delirium into timely clinical assessment, action, documentation and communication.</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Interpret the result correctly</w:t>
      </w:r>
    </w:p>
    <w:p>
      <w:pPr>
        <w:pStyle w:val="ListBullet"/>
      </w:pPr>
      <w:r>
        <w:rPr>
          <w:rFonts w:ascii="Arial" w:hAnsi="Arial"/>
        </w:rPr>
        <w:t>A 4AT score of 4 or more suggests possible delirium, with or without cognitive impairment.</w:t>
      </w:r>
    </w:p>
    <w:p>
      <w:pPr>
        <w:pStyle w:val="ListBullet"/>
      </w:pPr>
      <w:r>
        <w:rPr>
          <w:rFonts w:ascii="Arial" w:hAnsi="Arial"/>
        </w:rPr>
        <w:t>The result is not a diagnosis; a healthcare professional with relevant expertise should make the final diagnosis in the full clinical context.</w:t>
      </w:r>
    </w:p>
    <w:p>
      <w:pPr>
        <w:pStyle w:val="ListBullet"/>
      </w:pPr>
      <w:r>
        <w:rPr>
          <w:rFonts w:ascii="Arial" w:hAnsi="Arial"/>
        </w:rPr>
        <w:t>A lower score does not override a convincing acute change, incomplete information or ongoing clinical concern.</w:t>
      </w:r>
    </w:p>
    <w:p>
      <w:pPr>
        <w:pStyle w:val="Heading2"/>
        <w:keepNext/>
      </w:pPr>
      <w:r>
        <w:t>Check urgency first</w:t>
      </w:r>
    </w:p>
    <w:p>
      <w:pPr>
        <w:pStyle w:val="ListBullet"/>
      </w:pPr>
      <w:r>
        <w:rPr>
          <w:rFonts w:ascii="Arial" w:hAnsi="Arial"/>
        </w:rPr>
        <w:t>Assess the person’s immediate clinical state and act on physiological instability or another time-critical presentation.</w:t>
      </w:r>
    </w:p>
    <w:p>
      <w:pPr>
        <w:pStyle w:val="ListBullet"/>
      </w:pPr>
      <w:r>
        <w:rPr>
          <w:rFonts w:ascii="Arial" w:hAnsi="Arial"/>
        </w:rPr>
        <w:t>Note marked drowsiness as well as agitation; inability to engage is not a reason to abandon the 4AT.</w:t>
      </w:r>
    </w:p>
    <w:p>
      <w:pPr>
        <w:pStyle w:val="ListBullet"/>
      </w:pPr>
      <w:r>
        <w:rPr>
          <w:rFonts w:ascii="Arial" w:hAnsi="Arial"/>
        </w:rPr>
        <w:t>Use the organisation’s emergency response for any severe deterioration.</w:t>
      </w:r>
    </w:p>
    <w:p>
      <w:pPr>
        <w:pStyle w:val="Heading2"/>
        <w:keepNext/>
      </w:pPr>
      <w:r>
        <w:t>Build the clinical picture</w:t>
      </w:r>
    </w:p>
    <w:p>
      <w:pPr>
        <w:pStyle w:val="ListBullet"/>
      </w:pPr>
      <w:r>
        <w:rPr>
          <w:rFonts w:ascii="Arial" w:hAnsi="Arial"/>
        </w:rPr>
        <w:t>Seek collateral information about the person’s baseline and the timing or fluctuation of the change.</w:t>
      </w:r>
    </w:p>
    <w:p>
      <w:pPr>
        <w:pStyle w:val="ListBullet"/>
      </w:pPr>
      <w:r>
        <w:rPr>
          <w:rFonts w:ascii="Arial" w:hAnsi="Arial"/>
        </w:rPr>
        <w:t>Review current illness, examination findings, observations, medicines and recent changes or withdrawals.</w:t>
      </w:r>
    </w:p>
    <w:p>
      <w:pPr>
        <w:pStyle w:val="ListBullet"/>
      </w:pPr>
      <w:r>
        <w:rPr>
          <w:rFonts w:ascii="Arial" w:hAnsi="Arial"/>
        </w:rPr>
        <w:t>Consider more than one underlying cause and select investigations according to the clinical context rather than a fixed panel.</w:t>
      </w:r>
    </w:p>
    <w:p>
      <w:pPr>
        <w:pStyle w:val="Heading2"/>
        <w:keepNext/>
      </w:pPr>
      <w:r>
        <w:t>Make the result lead somewhere</w:t>
      </w:r>
    </w:p>
    <w:p>
      <w:pPr>
        <w:pStyle w:val="ListBullet"/>
      </w:pPr>
      <w:r>
        <w:rPr>
          <w:rFonts w:ascii="Arial" w:hAnsi="Arial"/>
        </w:rPr>
        <w:t>Record the score, item responses, time, baseline information and any communication or sensory barriers.</w:t>
      </w:r>
    </w:p>
    <w:p>
      <w:pPr>
        <w:pStyle w:val="ListBullet"/>
      </w:pPr>
      <w:r>
        <w:rPr>
          <w:rFonts w:ascii="Arial" w:hAnsi="Arial"/>
        </w:rPr>
        <w:t>Document the clinical conclusion and revise it if the course or new information changes the picture.</w:t>
      </w:r>
    </w:p>
    <w:p>
      <w:pPr>
        <w:pStyle w:val="ListBullet"/>
      </w:pPr>
      <w:r>
        <w:rPr>
          <w:rFonts w:ascii="Arial" w:hAnsi="Arial"/>
        </w:rPr>
        <w:t>Start cause-directed treatment and supportive care while the assessment continues, and tell the person and their family or carers what is happening.</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never stop at the score:</w:t>
      </w:r>
      <w:r>
        <w:rPr>
          <w:rFonts w:ascii="Arial" w:hAnsi="Arial"/>
          <w:color w:val="102A43"/>
          <w:sz w:val="21"/>
        </w:rPr>
        <w:t xml:space="preserve"> A positive 4AT requires clinical assessment and action. A score of 0 does not definitively exclude delirium, and a score of 1-3 may indicate cognitive impairment while clinical concern still requires evaluation. Use the recommended critical-care tool in ICU or postoperative recovery settings.</w:t>
      </w:r>
    </w:p>
    <w:p>
      <w:pPr>
        <w:pStyle w:val="Heading2"/>
        <w:keepNext/>
      </w:pPr>
      <w:r>
        <w:t>Verified official sources</w:t>
      </w:r>
    </w:p>
    <w:p>
      <w:pPr>
        <w:pStyle w:val="ListBullet"/>
        <w:spacing w:after="40"/>
      </w:pPr>
      <w:hyperlink r:id="rId11">
        <w:r>
          <w:rPr>
            <w:color w:val="244FC5"/>
            <w:u w:val="single"/>
          </w:rPr>
          <w:t>Official 4AT user guide</w:t>
        </w:r>
      </w:hyperlink>
    </w:p>
    <w:p>
      <w:pPr>
        <w:pStyle w:val="ListBullet"/>
        <w:spacing w:after="40"/>
      </w:pPr>
      <w:hyperlink r:id="rId12">
        <w:r>
          <w:rPr>
            <w:color w:val="244FC5"/>
            <w:u w:val="single"/>
          </w:rPr>
          <w:t>Official 4AT frequently asked questions</w:t>
        </w:r>
      </w:hyperlink>
    </w:p>
    <w:p>
      <w:pPr>
        <w:pStyle w:val="ListBullet"/>
        <w:spacing w:after="40"/>
      </w:pPr>
      <w:hyperlink r:id="rId13">
        <w:r>
          <w:rPr>
            <w:color w:val="244FC5"/>
            <w:u w:val="single"/>
          </w:rPr>
          <w:t>NICE CG103: assessment and diagnosis recommendations</w:t>
        </w:r>
      </w:hyperlink>
    </w:p>
    <w:p>
      <w:pPr>
        <w:pStyle w:val="ListBullet"/>
        <w:spacing w:after="40"/>
      </w:pPr>
      <w:hyperlink r:id="rId14">
        <w:r>
          <w:rPr>
            <w:color w:val="244FC5"/>
            <w:u w:val="single"/>
          </w:rPr>
          <w:t>SIGN 157 on Right Decisions: detecting delirium</w:t>
        </w:r>
      </w:hyperlink>
    </w:p>
    <w:p>
      <w:pPr>
        <w:pStyle w:val="ListBullet"/>
        <w:spacing w:after="40"/>
      </w:pPr>
      <w:hyperlink r:id="rId15">
        <w:r>
          <w:rPr>
            <w:color w:val="244FC5"/>
            <w:u w:val="single"/>
          </w:rPr>
          <w:t>NHS: sudden confusion</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4at.com/userguide" TargetMode="External"/><Relationship Id="rId12" Type="http://schemas.openxmlformats.org/officeDocument/2006/relationships/hyperlink" Target="https://www.the4at.com/4at-faq"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rightdecisions.scot.nhs.uk/risk-reduction-and-management-of-delirium-sign/about-4at-other-tools/sign-key-recommendations/" TargetMode="External"/><Relationship Id="rId15" Type="http://schemas.openxmlformats.org/officeDocument/2006/relationships/hyperlink" Target="https://www.nhs.uk/symptoms/con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positive 4AT is the start of the assessment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