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3BB6A" w14:textId="7EF3A8D6" w:rsidR="00900FA2" w:rsidRDefault="001B7715" w:rsidP="00A07008">
      <w:pPr>
        <w:rPr>
          <w:b/>
          <w:bCs/>
          <w:sz w:val="22"/>
          <w:szCs w:val="22"/>
        </w:rPr>
      </w:pPr>
      <w:r>
        <w:rPr>
          <w:b/>
          <w:bCs/>
          <w:sz w:val="22"/>
          <w:szCs w:val="22"/>
        </w:rPr>
        <w:t>An imaging, genomic and transcriptomic basis for d</w:t>
      </w:r>
      <w:r w:rsidR="00900FA2">
        <w:rPr>
          <w:b/>
          <w:bCs/>
          <w:sz w:val="22"/>
          <w:szCs w:val="22"/>
        </w:rPr>
        <w:t xml:space="preserve">isturbed iron homeostasis in Gilles de la Tourette syndrome </w:t>
      </w:r>
    </w:p>
    <w:p w14:paraId="40E74780" w14:textId="77777777" w:rsidR="00900FA2" w:rsidRDefault="00900FA2" w:rsidP="00A07008">
      <w:pPr>
        <w:rPr>
          <w:b/>
          <w:bCs/>
          <w:sz w:val="22"/>
          <w:szCs w:val="22"/>
        </w:rPr>
      </w:pPr>
    </w:p>
    <w:p w14:paraId="6D62D96B" w14:textId="3DA050AC" w:rsidR="00A47DDD" w:rsidRPr="00E002B1" w:rsidRDefault="00A47DDD" w:rsidP="00A07008">
      <w:pPr>
        <w:rPr>
          <w:b/>
          <w:bCs/>
          <w:sz w:val="22"/>
          <w:szCs w:val="22"/>
        </w:rPr>
      </w:pPr>
      <w:r w:rsidRPr="00E002B1">
        <w:rPr>
          <w:b/>
          <w:bCs/>
          <w:sz w:val="22"/>
          <w:szCs w:val="22"/>
        </w:rPr>
        <w:t>Materials and Metho</w:t>
      </w:r>
      <w:r w:rsidR="00E002B1" w:rsidRPr="00E002B1">
        <w:rPr>
          <w:b/>
          <w:bCs/>
          <w:sz w:val="22"/>
          <w:szCs w:val="22"/>
        </w:rPr>
        <w:t>d</w:t>
      </w:r>
      <w:r w:rsidRPr="00E002B1">
        <w:rPr>
          <w:b/>
          <w:bCs/>
          <w:sz w:val="22"/>
          <w:szCs w:val="22"/>
        </w:rPr>
        <w:t xml:space="preserve">s </w:t>
      </w:r>
    </w:p>
    <w:p w14:paraId="4DEECB7E" w14:textId="5D018853" w:rsidR="00A47DDD" w:rsidRDefault="00A47DDD" w:rsidP="00A07008">
      <w:pPr>
        <w:rPr>
          <w:sz w:val="22"/>
          <w:szCs w:val="22"/>
        </w:rPr>
      </w:pPr>
    </w:p>
    <w:p w14:paraId="32090503" w14:textId="79FCC4BB" w:rsidR="0052679C" w:rsidRPr="0052679C" w:rsidRDefault="004A6D51" w:rsidP="00C92ED2">
      <w:pPr>
        <w:jc w:val="both"/>
        <w:rPr>
          <w:rFonts w:ascii="Times" w:hAnsi="Times"/>
          <w:b/>
          <w:bCs/>
          <w:sz w:val="18"/>
          <w:szCs w:val="18"/>
        </w:rPr>
      </w:pPr>
      <w:r>
        <w:rPr>
          <w:rFonts w:ascii="Times" w:hAnsi="Times"/>
          <w:b/>
          <w:bCs/>
          <w:sz w:val="18"/>
          <w:szCs w:val="18"/>
        </w:rPr>
        <w:t>Design</w:t>
      </w:r>
    </w:p>
    <w:p w14:paraId="643BF101" w14:textId="4E0FCBBD" w:rsidR="00035FAD" w:rsidRPr="0052679C" w:rsidRDefault="00A47DDD" w:rsidP="00C92ED2">
      <w:pPr>
        <w:jc w:val="both"/>
        <w:rPr>
          <w:rFonts w:ascii="Times" w:hAnsi="Times"/>
          <w:sz w:val="18"/>
          <w:szCs w:val="18"/>
        </w:rPr>
      </w:pPr>
      <w:r w:rsidRPr="0052679C">
        <w:rPr>
          <w:rFonts w:ascii="Times" w:hAnsi="Times"/>
          <w:sz w:val="18"/>
          <w:szCs w:val="18"/>
        </w:rPr>
        <w:t xml:space="preserve">The overarching goal of this work is to investigate the role of iron in GTS pathophysiology and the downstream </w:t>
      </w:r>
      <w:r w:rsidR="00FD1881" w:rsidRPr="0052679C">
        <w:rPr>
          <w:rFonts w:ascii="Times" w:hAnsi="Times"/>
          <w:sz w:val="18"/>
          <w:szCs w:val="18"/>
        </w:rPr>
        <w:t>effects</w:t>
      </w:r>
      <w:r w:rsidRPr="0052679C">
        <w:rPr>
          <w:rFonts w:ascii="Times" w:hAnsi="Times"/>
          <w:sz w:val="18"/>
          <w:szCs w:val="18"/>
        </w:rPr>
        <w:t xml:space="preserve"> of </w:t>
      </w:r>
      <w:r w:rsidR="00000A77" w:rsidRPr="0052679C">
        <w:rPr>
          <w:rFonts w:ascii="Times" w:hAnsi="Times"/>
          <w:sz w:val="18"/>
          <w:szCs w:val="18"/>
        </w:rPr>
        <w:t xml:space="preserve">its </w:t>
      </w:r>
      <w:r w:rsidR="00035FAD" w:rsidRPr="0052679C">
        <w:rPr>
          <w:rFonts w:ascii="Times" w:hAnsi="Times"/>
          <w:sz w:val="18"/>
          <w:szCs w:val="18"/>
        </w:rPr>
        <w:t>abnormality</w:t>
      </w:r>
      <w:r w:rsidRPr="0052679C">
        <w:rPr>
          <w:rFonts w:ascii="Times" w:hAnsi="Times"/>
          <w:sz w:val="18"/>
          <w:szCs w:val="18"/>
        </w:rPr>
        <w:t xml:space="preserve">. We leveraged data available from diverse measurement techniques to identify disease relevant perturbations at </w:t>
      </w:r>
      <w:proofErr w:type="gramStart"/>
      <w:r w:rsidRPr="0052679C">
        <w:rPr>
          <w:rFonts w:ascii="Times" w:hAnsi="Times"/>
          <w:sz w:val="18"/>
          <w:szCs w:val="18"/>
        </w:rPr>
        <w:t>multiple-scales</w:t>
      </w:r>
      <w:proofErr w:type="gramEnd"/>
      <w:r w:rsidR="00CC5E24" w:rsidRPr="0052679C">
        <w:rPr>
          <w:rFonts w:ascii="Times" w:hAnsi="Times"/>
          <w:sz w:val="18"/>
          <w:szCs w:val="18"/>
        </w:rPr>
        <w:t xml:space="preserve"> to provide biological</w:t>
      </w:r>
      <w:r w:rsidR="00C13F95" w:rsidRPr="0052679C">
        <w:rPr>
          <w:rFonts w:ascii="Times" w:hAnsi="Times"/>
          <w:sz w:val="18"/>
          <w:szCs w:val="18"/>
        </w:rPr>
        <w:t xml:space="preserve"> information that is both shared and distinct across modalities</w:t>
      </w:r>
      <w:r w:rsidR="00CC5E24" w:rsidRPr="0052679C">
        <w:rPr>
          <w:rFonts w:ascii="Times" w:hAnsi="Times"/>
          <w:sz w:val="18"/>
          <w:szCs w:val="18"/>
        </w:rPr>
        <w:t xml:space="preserve">. </w:t>
      </w:r>
      <w:r w:rsidRPr="0052679C">
        <w:rPr>
          <w:rFonts w:ascii="Times" w:hAnsi="Times"/>
          <w:sz w:val="18"/>
          <w:szCs w:val="18"/>
        </w:rPr>
        <w:t xml:space="preserve"> </w:t>
      </w:r>
      <w:r w:rsidR="00E002B1" w:rsidRPr="0052679C">
        <w:rPr>
          <w:rFonts w:ascii="Times" w:hAnsi="Times"/>
          <w:sz w:val="18"/>
          <w:szCs w:val="18"/>
        </w:rPr>
        <w:t>First, we implemented Quantitative Susceptibility Mapping</w:t>
      </w:r>
      <w:r w:rsidR="00D81CE4">
        <w:rPr>
          <w:rFonts w:ascii="Times" w:hAnsi="Times"/>
          <w:sz w:val="18"/>
          <w:szCs w:val="18"/>
        </w:rPr>
        <w:t xml:space="preserve"> (QSM)</w:t>
      </w:r>
      <w:r w:rsidR="00E002B1" w:rsidRPr="0052679C">
        <w:rPr>
          <w:rFonts w:ascii="Times" w:hAnsi="Times"/>
          <w:sz w:val="18"/>
          <w:szCs w:val="18"/>
        </w:rPr>
        <w:t xml:space="preserve"> as an i</w:t>
      </w:r>
      <w:r w:rsidRPr="0052679C">
        <w:rPr>
          <w:rFonts w:ascii="Times" w:hAnsi="Times"/>
          <w:sz w:val="18"/>
          <w:szCs w:val="18"/>
        </w:rPr>
        <w:t xml:space="preserve">n-vivo proxy measure of brain iron </w:t>
      </w:r>
      <w:r w:rsidR="00035FAD" w:rsidRPr="0052679C">
        <w:rPr>
          <w:rFonts w:ascii="Times" w:hAnsi="Times"/>
          <w:sz w:val="18"/>
          <w:szCs w:val="18"/>
        </w:rPr>
        <w:t xml:space="preserve">levels </w:t>
      </w:r>
      <w:r w:rsidR="001660C4">
        <w:rPr>
          <w:rFonts w:ascii="Times" w:hAnsi="Times"/>
          <w:sz w:val="18"/>
          <w:szCs w:val="18"/>
        </w:rPr>
        <w:t>within</w:t>
      </w:r>
      <w:r w:rsidR="00C13F95" w:rsidRPr="0052679C">
        <w:rPr>
          <w:rFonts w:ascii="Times" w:hAnsi="Times"/>
          <w:sz w:val="18"/>
          <w:szCs w:val="18"/>
        </w:rPr>
        <w:t xml:space="preserve"> well-defined loci </w:t>
      </w:r>
      <w:r w:rsidR="00035FAD" w:rsidRPr="0052679C">
        <w:rPr>
          <w:rFonts w:ascii="Times" w:hAnsi="Times"/>
          <w:sz w:val="18"/>
          <w:szCs w:val="18"/>
        </w:rPr>
        <w:t xml:space="preserve">of </w:t>
      </w:r>
      <w:r w:rsidR="00C13F95" w:rsidRPr="0052679C">
        <w:rPr>
          <w:rFonts w:ascii="Times" w:hAnsi="Times"/>
          <w:sz w:val="18"/>
          <w:szCs w:val="18"/>
        </w:rPr>
        <w:t>pathophysiology</w:t>
      </w:r>
      <w:r w:rsidR="001660C4">
        <w:rPr>
          <w:rFonts w:ascii="Times" w:hAnsi="Times"/>
          <w:sz w:val="18"/>
          <w:szCs w:val="18"/>
        </w:rPr>
        <w:t xml:space="preserve"> </w:t>
      </w:r>
      <w:r w:rsidR="001660C4" w:rsidRPr="0052679C">
        <w:rPr>
          <w:rFonts w:ascii="Times" w:hAnsi="Times"/>
          <w:sz w:val="18"/>
          <w:szCs w:val="18"/>
        </w:rPr>
        <w:t>in</w:t>
      </w:r>
      <w:r w:rsidR="007C35E1">
        <w:rPr>
          <w:rFonts w:ascii="Times" w:hAnsi="Times"/>
          <w:sz w:val="18"/>
          <w:szCs w:val="18"/>
        </w:rPr>
        <w:t xml:space="preserve"> a sample of </w:t>
      </w:r>
      <w:r w:rsidR="001660C4" w:rsidRPr="0052679C">
        <w:rPr>
          <w:rFonts w:ascii="Times" w:hAnsi="Times"/>
          <w:sz w:val="18"/>
          <w:szCs w:val="18"/>
        </w:rPr>
        <w:t xml:space="preserve">N=54 </w:t>
      </w:r>
      <w:r w:rsidR="00D81CE4">
        <w:rPr>
          <w:rFonts w:ascii="Times" w:hAnsi="Times"/>
          <w:sz w:val="18"/>
          <w:szCs w:val="18"/>
        </w:rPr>
        <w:t>individuals</w:t>
      </w:r>
      <w:r w:rsidR="00E002B1" w:rsidRPr="0052679C">
        <w:rPr>
          <w:rFonts w:ascii="Times" w:hAnsi="Times"/>
          <w:sz w:val="18"/>
          <w:szCs w:val="18"/>
        </w:rPr>
        <w:t>.</w:t>
      </w:r>
      <w:r w:rsidR="007C35E1">
        <w:rPr>
          <w:rFonts w:ascii="Times" w:hAnsi="Times"/>
          <w:sz w:val="18"/>
          <w:szCs w:val="18"/>
        </w:rPr>
        <w:t xml:space="preserve"> </w:t>
      </w:r>
      <w:r w:rsidR="00E002B1" w:rsidRPr="0052679C">
        <w:rPr>
          <w:rFonts w:ascii="Times" w:hAnsi="Times"/>
          <w:sz w:val="18"/>
          <w:szCs w:val="18"/>
        </w:rPr>
        <w:t xml:space="preserve">This </w:t>
      </w:r>
      <w:r w:rsidR="00C13F95" w:rsidRPr="0052679C">
        <w:rPr>
          <w:rFonts w:ascii="Times" w:hAnsi="Times"/>
          <w:sz w:val="18"/>
          <w:szCs w:val="18"/>
        </w:rPr>
        <w:t xml:space="preserve">data </w:t>
      </w:r>
      <w:r w:rsidR="00E002B1" w:rsidRPr="0052679C">
        <w:rPr>
          <w:rFonts w:ascii="Times" w:hAnsi="Times"/>
          <w:sz w:val="18"/>
          <w:szCs w:val="18"/>
        </w:rPr>
        <w:t>was c</w:t>
      </w:r>
      <w:r w:rsidR="00DF7C46" w:rsidRPr="0052679C">
        <w:rPr>
          <w:rFonts w:ascii="Times" w:hAnsi="Times"/>
          <w:sz w:val="18"/>
          <w:szCs w:val="18"/>
        </w:rPr>
        <w:t xml:space="preserve">omplemented by a </w:t>
      </w:r>
      <w:r w:rsidR="00FD1594">
        <w:rPr>
          <w:rFonts w:ascii="Times" w:hAnsi="Times"/>
          <w:sz w:val="18"/>
          <w:szCs w:val="18"/>
        </w:rPr>
        <w:t>comprehensive</w:t>
      </w:r>
      <w:r w:rsidR="00DF7C46" w:rsidRPr="0052679C">
        <w:rPr>
          <w:rFonts w:ascii="Times" w:hAnsi="Times"/>
          <w:sz w:val="18"/>
          <w:szCs w:val="18"/>
        </w:rPr>
        <w:t xml:space="preserve"> clinical assessment battery to assess</w:t>
      </w:r>
      <w:r w:rsidR="00C13F95" w:rsidRPr="0052679C">
        <w:rPr>
          <w:rFonts w:ascii="Times" w:hAnsi="Times"/>
          <w:sz w:val="18"/>
          <w:szCs w:val="18"/>
        </w:rPr>
        <w:t xml:space="preserve"> heterogeneity in symptomatology</w:t>
      </w:r>
      <w:r w:rsidR="00DF7C46" w:rsidRPr="0052679C">
        <w:rPr>
          <w:rFonts w:ascii="Times" w:hAnsi="Times"/>
          <w:sz w:val="18"/>
          <w:szCs w:val="18"/>
        </w:rPr>
        <w:t xml:space="preserve"> and </w:t>
      </w:r>
      <w:r w:rsidR="00D158D3" w:rsidRPr="0052679C">
        <w:rPr>
          <w:rFonts w:ascii="Times" w:hAnsi="Times"/>
          <w:sz w:val="18"/>
          <w:szCs w:val="18"/>
        </w:rPr>
        <w:t>measurement</w:t>
      </w:r>
      <w:r w:rsidR="00DF7C46" w:rsidRPr="0052679C">
        <w:rPr>
          <w:rFonts w:ascii="Times" w:hAnsi="Times"/>
          <w:sz w:val="18"/>
          <w:szCs w:val="18"/>
        </w:rPr>
        <w:t xml:space="preserve"> of </w:t>
      </w:r>
      <w:r w:rsidR="00D158D3" w:rsidRPr="0052679C">
        <w:rPr>
          <w:rFonts w:ascii="Times" w:hAnsi="Times"/>
          <w:sz w:val="18"/>
          <w:szCs w:val="18"/>
        </w:rPr>
        <w:t>serum</w:t>
      </w:r>
      <w:r w:rsidR="00DF7C46" w:rsidRPr="0052679C">
        <w:rPr>
          <w:rFonts w:ascii="Times" w:hAnsi="Times"/>
          <w:sz w:val="18"/>
          <w:szCs w:val="18"/>
        </w:rPr>
        <w:t xml:space="preserve"> ferritin </w:t>
      </w:r>
      <w:r w:rsidR="00CE4912" w:rsidRPr="0052679C">
        <w:rPr>
          <w:rFonts w:ascii="Times" w:hAnsi="Times"/>
          <w:sz w:val="18"/>
          <w:szCs w:val="18"/>
        </w:rPr>
        <w:t>as a proxy measure</w:t>
      </w:r>
      <w:r w:rsidR="00DF7C46" w:rsidRPr="0052679C">
        <w:rPr>
          <w:rFonts w:ascii="Times" w:hAnsi="Times"/>
          <w:sz w:val="18"/>
          <w:szCs w:val="18"/>
        </w:rPr>
        <w:t xml:space="preserve"> </w:t>
      </w:r>
      <w:r w:rsidR="00CE4912" w:rsidRPr="0052679C">
        <w:rPr>
          <w:rFonts w:ascii="Times" w:hAnsi="Times"/>
          <w:sz w:val="18"/>
          <w:szCs w:val="18"/>
        </w:rPr>
        <w:t xml:space="preserve">of </w:t>
      </w:r>
      <w:r w:rsidR="00DF7C46" w:rsidRPr="0052679C">
        <w:rPr>
          <w:rFonts w:ascii="Times" w:hAnsi="Times"/>
          <w:sz w:val="18"/>
          <w:szCs w:val="18"/>
        </w:rPr>
        <w:t>global iron.</w:t>
      </w:r>
      <w:r w:rsidR="00D81CE4">
        <w:rPr>
          <w:rFonts w:ascii="Times" w:hAnsi="Times"/>
          <w:sz w:val="18"/>
          <w:szCs w:val="18"/>
        </w:rPr>
        <w:t xml:space="preserve"> </w:t>
      </w:r>
      <w:r w:rsidR="007C35E1">
        <w:rPr>
          <w:rFonts w:ascii="Times" w:hAnsi="Times"/>
          <w:sz w:val="18"/>
          <w:szCs w:val="18"/>
        </w:rPr>
        <w:t xml:space="preserve">QSM data from an independent sample of N=100 healthy controls were also available for supplementary analyses. </w:t>
      </w:r>
      <w:r w:rsidR="007C35E1" w:rsidRPr="0052679C">
        <w:rPr>
          <w:rFonts w:ascii="Times" w:hAnsi="Times"/>
          <w:sz w:val="18"/>
          <w:szCs w:val="18"/>
        </w:rPr>
        <w:t xml:space="preserve"> </w:t>
      </w:r>
      <w:r w:rsidR="00216F45" w:rsidRPr="0052679C">
        <w:rPr>
          <w:rFonts w:ascii="Times" w:hAnsi="Times"/>
          <w:sz w:val="18"/>
          <w:szCs w:val="18"/>
        </w:rPr>
        <w:t xml:space="preserve">Second, we implemented a human genetics approach to assess </w:t>
      </w:r>
      <w:r w:rsidR="005D592B" w:rsidRPr="0052679C">
        <w:rPr>
          <w:rFonts w:ascii="Times" w:hAnsi="Times"/>
          <w:sz w:val="18"/>
          <w:szCs w:val="18"/>
        </w:rPr>
        <w:t>the genetic correlation</w:t>
      </w:r>
      <w:r w:rsidR="00216F45" w:rsidRPr="0052679C">
        <w:rPr>
          <w:rFonts w:ascii="Times" w:hAnsi="Times"/>
          <w:sz w:val="18"/>
          <w:szCs w:val="18"/>
        </w:rPr>
        <w:t xml:space="preserve"> between </w:t>
      </w:r>
      <w:r w:rsidR="00881F4C" w:rsidRPr="0052679C">
        <w:rPr>
          <w:rFonts w:ascii="Times" w:hAnsi="Times"/>
          <w:sz w:val="18"/>
          <w:szCs w:val="18"/>
        </w:rPr>
        <w:t>GTS</w:t>
      </w:r>
      <w:r w:rsidR="00216F45" w:rsidRPr="0052679C">
        <w:rPr>
          <w:rFonts w:ascii="Times" w:hAnsi="Times"/>
          <w:sz w:val="18"/>
          <w:szCs w:val="18"/>
        </w:rPr>
        <w:t xml:space="preserve"> </w:t>
      </w:r>
      <w:r w:rsidR="00881F4C" w:rsidRPr="0052679C">
        <w:rPr>
          <w:rFonts w:ascii="Times" w:hAnsi="Times"/>
          <w:sz w:val="18"/>
          <w:szCs w:val="18"/>
        </w:rPr>
        <w:t>and iron</w:t>
      </w:r>
      <w:r w:rsidR="00035FAD" w:rsidRPr="0052679C">
        <w:rPr>
          <w:rFonts w:ascii="Times" w:hAnsi="Times"/>
          <w:sz w:val="18"/>
          <w:szCs w:val="18"/>
        </w:rPr>
        <w:t>-related</w:t>
      </w:r>
      <w:r w:rsidR="00881F4C" w:rsidRPr="0052679C">
        <w:rPr>
          <w:rFonts w:ascii="Times" w:hAnsi="Times"/>
          <w:sz w:val="18"/>
          <w:szCs w:val="18"/>
        </w:rPr>
        <w:t xml:space="preserve"> proteins</w:t>
      </w:r>
      <w:r w:rsidR="00035FAD" w:rsidRPr="0052679C">
        <w:rPr>
          <w:rFonts w:ascii="Times" w:hAnsi="Times"/>
          <w:sz w:val="18"/>
          <w:szCs w:val="18"/>
        </w:rPr>
        <w:t xml:space="preserve"> </w:t>
      </w:r>
      <w:r w:rsidR="00000A77" w:rsidRPr="0052679C">
        <w:rPr>
          <w:rFonts w:ascii="Times" w:hAnsi="Times"/>
          <w:sz w:val="18"/>
          <w:szCs w:val="18"/>
        </w:rPr>
        <w:t>leveraging</w:t>
      </w:r>
      <w:r w:rsidR="00035FAD" w:rsidRPr="0052679C">
        <w:rPr>
          <w:rFonts w:ascii="Times" w:hAnsi="Times"/>
          <w:sz w:val="18"/>
          <w:szCs w:val="18"/>
        </w:rPr>
        <w:t xml:space="preserve"> Genome Wide Association studies (GWAS) data</w:t>
      </w:r>
      <w:r w:rsidR="00E21790" w:rsidRPr="0052679C">
        <w:rPr>
          <w:rFonts w:ascii="Times" w:hAnsi="Times"/>
          <w:sz w:val="18"/>
          <w:szCs w:val="18"/>
        </w:rPr>
        <w:t xml:space="preserve"> from the Tourette Syndrome Association and the Genetics of Iron Status Consorti</w:t>
      </w:r>
      <w:r w:rsidR="001B60DB">
        <w:rPr>
          <w:rFonts w:ascii="Times" w:hAnsi="Times"/>
          <w:sz w:val="18"/>
          <w:szCs w:val="18"/>
        </w:rPr>
        <w:t>a</w:t>
      </w:r>
      <w:r w:rsidR="00881F4C" w:rsidRPr="0052679C">
        <w:rPr>
          <w:rFonts w:ascii="Times" w:hAnsi="Times"/>
          <w:sz w:val="18"/>
          <w:szCs w:val="18"/>
        </w:rPr>
        <w:t>.</w:t>
      </w:r>
      <w:r w:rsidR="005D592B" w:rsidRPr="0052679C">
        <w:rPr>
          <w:rFonts w:ascii="Times" w:hAnsi="Times"/>
          <w:sz w:val="18"/>
          <w:szCs w:val="18"/>
        </w:rPr>
        <w:t xml:space="preserve"> </w:t>
      </w:r>
      <w:r w:rsidR="002B616A">
        <w:rPr>
          <w:rFonts w:ascii="Times" w:hAnsi="Times"/>
          <w:sz w:val="18"/>
          <w:szCs w:val="18"/>
        </w:rPr>
        <w:t xml:space="preserve">Shared </w:t>
      </w:r>
      <w:r w:rsidR="00E21790" w:rsidRPr="0052679C">
        <w:rPr>
          <w:rFonts w:ascii="Times" w:hAnsi="Times"/>
          <w:sz w:val="18"/>
          <w:szCs w:val="18"/>
        </w:rPr>
        <w:t>genetic structure</w:t>
      </w:r>
      <w:r w:rsidR="00000A77" w:rsidRPr="0052679C">
        <w:rPr>
          <w:rFonts w:ascii="Times" w:hAnsi="Times"/>
          <w:sz w:val="18"/>
          <w:szCs w:val="18"/>
        </w:rPr>
        <w:t xml:space="preserve"> between GTS and iron-related proteins</w:t>
      </w:r>
      <w:r w:rsidR="00E21790" w:rsidRPr="0052679C">
        <w:rPr>
          <w:rFonts w:ascii="Times" w:hAnsi="Times"/>
          <w:sz w:val="18"/>
          <w:szCs w:val="18"/>
        </w:rPr>
        <w:t xml:space="preserve"> </w:t>
      </w:r>
      <w:r w:rsidR="00035FAD" w:rsidRPr="0052679C">
        <w:rPr>
          <w:rFonts w:ascii="Times" w:hAnsi="Times"/>
          <w:sz w:val="18"/>
          <w:szCs w:val="18"/>
        </w:rPr>
        <w:t>was estimated using LD-score regression of GWAS summary statistics in GTS (N=4,819</w:t>
      </w:r>
      <w:r w:rsidR="00EF7355">
        <w:rPr>
          <w:rFonts w:ascii="Times" w:hAnsi="Times"/>
          <w:sz w:val="18"/>
          <w:szCs w:val="18"/>
        </w:rPr>
        <w:t xml:space="preserve"> patients, N=</w:t>
      </w:r>
      <w:r w:rsidR="00EF7355">
        <w:rPr>
          <w:color w:val="000000"/>
          <w:sz w:val="18"/>
          <w:szCs w:val="18"/>
        </w:rPr>
        <w:t>9488</w:t>
      </w:r>
      <w:r w:rsidR="00035FAD" w:rsidRPr="0052679C">
        <w:rPr>
          <w:rFonts w:ascii="Times" w:hAnsi="Times"/>
          <w:sz w:val="18"/>
          <w:szCs w:val="18"/>
        </w:rPr>
        <w:t>) and Ferritin/Transferrin (N=23,986)</w:t>
      </w:r>
      <w:r w:rsidR="0069392B">
        <w:rPr>
          <w:rFonts w:ascii="Times" w:hAnsi="Times"/>
          <w:sz w:val="18"/>
          <w:szCs w:val="18"/>
        </w:rPr>
        <w:t xml:space="preserve"> </w:t>
      </w:r>
      <w:r w:rsidR="0069392B" w:rsidRPr="0052679C">
        <w:rPr>
          <w:rFonts w:ascii="Times" w:hAnsi="Times"/>
          <w:sz w:val="18"/>
          <w:szCs w:val="18"/>
        </w:rPr>
        <w:t>(</w:t>
      </w:r>
      <w:r w:rsidR="0069392B">
        <w:rPr>
          <w:rFonts w:ascii="Times" w:hAnsi="Times"/>
          <w:sz w:val="18"/>
          <w:szCs w:val="18"/>
        </w:rPr>
        <w:t xml:space="preserve">Yu, 2019; </w:t>
      </w:r>
      <w:r w:rsidR="0069392B" w:rsidRPr="00083D3B">
        <w:rPr>
          <w:sz w:val="18"/>
          <w:szCs w:val="18"/>
        </w:rPr>
        <w:t>Benyamin, et al., 2014</w:t>
      </w:r>
      <w:r w:rsidR="0069392B">
        <w:rPr>
          <w:sz w:val="18"/>
          <w:szCs w:val="18"/>
        </w:rPr>
        <w:t xml:space="preserve">, </w:t>
      </w:r>
      <w:proofErr w:type="spellStart"/>
      <w:r w:rsidR="0069392B" w:rsidRPr="0052679C">
        <w:rPr>
          <w:rFonts w:ascii="Times" w:hAnsi="Times"/>
          <w:sz w:val="18"/>
          <w:szCs w:val="18"/>
        </w:rPr>
        <w:t>Bulik</w:t>
      </w:r>
      <w:proofErr w:type="spellEnd"/>
      <w:r w:rsidR="0069392B" w:rsidRPr="0052679C">
        <w:rPr>
          <w:rFonts w:ascii="Times" w:hAnsi="Times"/>
          <w:sz w:val="18"/>
          <w:szCs w:val="18"/>
        </w:rPr>
        <w:t>-Sullivan, 2015)</w:t>
      </w:r>
      <w:r w:rsidR="00035FAD" w:rsidRPr="0052679C">
        <w:rPr>
          <w:rFonts w:ascii="Times" w:hAnsi="Times"/>
          <w:sz w:val="18"/>
          <w:szCs w:val="18"/>
        </w:rPr>
        <w:t xml:space="preserve">. </w:t>
      </w:r>
      <w:r w:rsidR="00000A77" w:rsidRPr="0052679C">
        <w:rPr>
          <w:rFonts w:ascii="Times" w:hAnsi="Times"/>
          <w:sz w:val="18"/>
          <w:szCs w:val="18"/>
        </w:rPr>
        <w:t>Third, g</w:t>
      </w:r>
      <w:r w:rsidR="00E21790" w:rsidRPr="0052679C">
        <w:rPr>
          <w:rFonts w:ascii="Times" w:hAnsi="Times"/>
          <w:sz w:val="18"/>
          <w:szCs w:val="18"/>
        </w:rPr>
        <w:t xml:space="preserve">iven the </w:t>
      </w:r>
      <w:r w:rsidR="00F813D5" w:rsidRPr="0052679C">
        <w:rPr>
          <w:rFonts w:ascii="Times" w:hAnsi="Times"/>
          <w:sz w:val="18"/>
          <w:szCs w:val="18"/>
        </w:rPr>
        <w:t xml:space="preserve">conserved and </w:t>
      </w:r>
      <w:r w:rsidR="00E21790" w:rsidRPr="0052679C">
        <w:rPr>
          <w:rFonts w:ascii="Times" w:hAnsi="Times"/>
          <w:sz w:val="18"/>
          <w:szCs w:val="18"/>
        </w:rPr>
        <w:t xml:space="preserve">highly </w:t>
      </w:r>
      <w:r w:rsidR="00F813D5" w:rsidRPr="0052679C">
        <w:rPr>
          <w:rFonts w:ascii="Times" w:hAnsi="Times"/>
          <w:sz w:val="18"/>
          <w:szCs w:val="18"/>
        </w:rPr>
        <w:t>stereotyped</w:t>
      </w:r>
      <w:r w:rsidR="00E21790" w:rsidRPr="0052679C">
        <w:rPr>
          <w:rFonts w:ascii="Times" w:hAnsi="Times"/>
          <w:sz w:val="18"/>
          <w:szCs w:val="18"/>
        </w:rPr>
        <w:t xml:space="preserve"> pattern </w:t>
      </w:r>
      <w:r w:rsidR="00F813D5" w:rsidRPr="0052679C">
        <w:rPr>
          <w:rFonts w:ascii="Times" w:hAnsi="Times"/>
          <w:sz w:val="18"/>
          <w:szCs w:val="18"/>
        </w:rPr>
        <w:t xml:space="preserve">of gene expression </w:t>
      </w:r>
      <w:r w:rsidR="00F960A9">
        <w:rPr>
          <w:rFonts w:ascii="Times" w:hAnsi="Times"/>
          <w:sz w:val="18"/>
          <w:szCs w:val="18"/>
        </w:rPr>
        <w:t xml:space="preserve">in the </w:t>
      </w:r>
      <w:r w:rsidR="00F813D5" w:rsidRPr="0052679C">
        <w:rPr>
          <w:rFonts w:ascii="Times" w:hAnsi="Times"/>
          <w:sz w:val="18"/>
          <w:szCs w:val="18"/>
        </w:rPr>
        <w:t>brain</w:t>
      </w:r>
      <w:r w:rsidR="00EC42BE" w:rsidRPr="0052679C">
        <w:rPr>
          <w:rFonts w:ascii="Times" w:hAnsi="Times"/>
          <w:sz w:val="18"/>
          <w:szCs w:val="18"/>
        </w:rPr>
        <w:t xml:space="preserve"> and its </w:t>
      </w:r>
      <w:r w:rsidR="00EC42BE" w:rsidRPr="0052679C">
        <w:rPr>
          <w:rFonts w:ascii="Calibri" w:hAnsi="Calibri" w:cs="Calibri"/>
          <w:sz w:val="18"/>
          <w:szCs w:val="18"/>
        </w:rPr>
        <w:t>﻿</w:t>
      </w:r>
      <w:r w:rsidR="00EC42BE" w:rsidRPr="0052679C">
        <w:rPr>
          <w:rFonts w:ascii="Times" w:hAnsi="Times"/>
          <w:sz w:val="18"/>
          <w:szCs w:val="18"/>
        </w:rPr>
        <w:t xml:space="preserve">heterogeneity within </w:t>
      </w:r>
      <w:r w:rsidR="00E2234F" w:rsidRPr="0052679C">
        <w:rPr>
          <w:rFonts w:ascii="Times" w:hAnsi="Times"/>
          <w:sz w:val="18"/>
          <w:szCs w:val="18"/>
        </w:rPr>
        <w:t xml:space="preserve">nuclei </w:t>
      </w:r>
      <w:r w:rsidR="00EC42BE" w:rsidRPr="0052679C">
        <w:rPr>
          <w:rFonts w:ascii="Times" w:hAnsi="Times"/>
          <w:sz w:val="18"/>
          <w:szCs w:val="18"/>
        </w:rPr>
        <w:t>subdivisions</w:t>
      </w:r>
      <w:r w:rsidR="00F813D5" w:rsidRPr="0052679C">
        <w:rPr>
          <w:rFonts w:ascii="Times" w:hAnsi="Times"/>
          <w:sz w:val="18"/>
          <w:szCs w:val="18"/>
        </w:rPr>
        <w:t>, we</w:t>
      </w:r>
      <w:r w:rsidR="00000A77" w:rsidRPr="0052679C">
        <w:rPr>
          <w:rFonts w:ascii="Times" w:hAnsi="Times"/>
          <w:sz w:val="18"/>
          <w:szCs w:val="18"/>
        </w:rPr>
        <w:t xml:space="preserve"> </w:t>
      </w:r>
      <w:r w:rsidR="00F813D5" w:rsidRPr="0052679C">
        <w:rPr>
          <w:rFonts w:ascii="Times" w:hAnsi="Times"/>
          <w:sz w:val="18"/>
          <w:szCs w:val="18"/>
        </w:rPr>
        <w:t xml:space="preserve">employed a spatial transcriptomic approach </w:t>
      </w:r>
      <w:r w:rsidR="00B45F78">
        <w:rPr>
          <w:rFonts w:ascii="Times" w:hAnsi="Times"/>
          <w:sz w:val="18"/>
          <w:szCs w:val="18"/>
        </w:rPr>
        <w:t xml:space="preserve">using </w:t>
      </w:r>
      <w:r w:rsidR="00F813D5" w:rsidRPr="0052679C">
        <w:rPr>
          <w:rFonts w:ascii="Times" w:hAnsi="Times"/>
          <w:sz w:val="18"/>
          <w:szCs w:val="18"/>
        </w:rPr>
        <w:t xml:space="preserve">microarray gene expression data from the Allen Human Brain </w:t>
      </w:r>
      <w:r w:rsidR="00000A77" w:rsidRPr="0052679C">
        <w:rPr>
          <w:rFonts w:ascii="Times" w:hAnsi="Times"/>
          <w:sz w:val="18"/>
          <w:szCs w:val="18"/>
        </w:rPr>
        <w:t>A</w:t>
      </w:r>
      <w:r w:rsidR="00F813D5" w:rsidRPr="0052679C">
        <w:rPr>
          <w:rFonts w:ascii="Times" w:hAnsi="Times"/>
          <w:sz w:val="18"/>
          <w:szCs w:val="18"/>
        </w:rPr>
        <w:t>tlas</w:t>
      </w:r>
      <w:r w:rsidR="00000A77" w:rsidRPr="0052679C">
        <w:rPr>
          <w:rFonts w:ascii="Times" w:hAnsi="Times"/>
          <w:sz w:val="18"/>
          <w:szCs w:val="18"/>
        </w:rPr>
        <w:t xml:space="preserve"> (AHBA)</w:t>
      </w:r>
      <w:r w:rsidR="00F813D5" w:rsidRPr="0052679C">
        <w:rPr>
          <w:rFonts w:ascii="Times" w:hAnsi="Times"/>
          <w:sz w:val="18"/>
          <w:szCs w:val="18"/>
        </w:rPr>
        <w:t xml:space="preserve"> </w:t>
      </w:r>
      <w:r w:rsidR="00922154" w:rsidRPr="0052679C">
        <w:rPr>
          <w:rFonts w:ascii="Times" w:hAnsi="Times"/>
          <w:sz w:val="18"/>
          <w:szCs w:val="18"/>
        </w:rPr>
        <w:t>to assess</w:t>
      </w:r>
      <w:r w:rsidR="00F813D5" w:rsidRPr="0052679C">
        <w:rPr>
          <w:rFonts w:ascii="Times" w:hAnsi="Times"/>
          <w:sz w:val="18"/>
          <w:szCs w:val="18"/>
        </w:rPr>
        <w:t xml:space="preserve"> associations </w:t>
      </w:r>
      <w:r w:rsidR="00922154" w:rsidRPr="0052679C">
        <w:rPr>
          <w:rFonts w:ascii="Times" w:hAnsi="Times"/>
          <w:sz w:val="18"/>
          <w:szCs w:val="18"/>
        </w:rPr>
        <w:t xml:space="preserve">between </w:t>
      </w:r>
      <w:r w:rsidR="00000A77" w:rsidRPr="0052679C">
        <w:rPr>
          <w:rFonts w:ascii="Times" w:hAnsi="Times"/>
          <w:sz w:val="18"/>
          <w:szCs w:val="18"/>
        </w:rPr>
        <w:t xml:space="preserve">patterns of </w:t>
      </w:r>
      <w:r w:rsidR="00922154" w:rsidRPr="0052679C">
        <w:rPr>
          <w:rFonts w:ascii="Times" w:hAnsi="Times"/>
          <w:sz w:val="18"/>
          <w:szCs w:val="18"/>
        </w:rPr>
        <w:t xml:space="preserve">gene expression </w:t>
      </w:r>
      <w:r w:rsidR="00000A77" w:rsidRPr="0052679C">
        <w:rPr>
          <w:rFonts w:ascii="Times" w:hAnsi="Times"/>
          <w:sz w:val="18"/>
          <w:szCs w:val="18"/>
        </w:rPr>
        <w:t xml:space="preserve">and </w:t>
      </w:r>
      <w:r w:rsidR="00B45F78" w:rsidRPr="0052679C">
        <w:rPr>
          <w:rFonts w:ascii="Times" w:hAnsi="Times"/>
          <w:sz w:val="18"/>
          <w:szCs w:val="18"/>
        </w:rPr>
        <w:t xml:space="preserve">case-control QSM </w:t>
      </w:r>
      <w:r w:rsidR="00B45F78">
        <w:rPr>
          <w:rFonts w:ascii="Times" w:hAnsi="Times"/>
          <w:sz w:val="18"/>
          <w:szCs w:val="18"/>
        </w:rPr>
        <w:t>statistical maps</w:t>
      </w:r>
      <w:r w:rsidR="00922154" w:rsidRPr="0052679C">
        <w:rPr>
          <w:rFonts w:ascii="Times" w:hAnsi="Times"/>
          <w:sz w:val="18"/>
          <w:szCs w:val="18"/>
        </w:rPr>
        <w:t xml:space="preserve"> </w:t>
      </w:r>
      <w:r w:rsidR="00602699">
        <w:rPr>
          <w:rFonts w:ascii="Times" w:hAnsi="Times"/>
          <w:sz w:val="18"/>
          <w:szCs w:val="18"/>
        </w:rPr>
        <w:t>within</w:t>
      </w:r>
      <w:r w:rsidR="00922154" w:rsidRPr="0052679C">
        <w:rPr>
          <w:rFonts w:ascii="Times" w:hAnsi="Times"/>
          <w:sz w:val="18"/>
          <w:szCs w:val="18"/>
        </w:rPr>
        <w:t xml:space="preserve"> </w:t>
      </w:r>
      <w:r w:rsidR="00000A77" w:rsidRPr="0052679C">
        <w:rPr>
          <w:rFonts w:ascii="Times" w:hAnsi="Times"/>
          <w:sz w:val="18"/>
          <w:szCs w:val="18"/>
        </w:rPr>
        <w:t xml:space="preserve">subdivisions </w:t>
      </w:r>
      <w:r w:rsidR="00922154" w:rsidRPr="0052679C">
        <w:rPr>
          <w:rFonts w:ascii="Times" w:hAnsi="Times"/>
          <w:sz w:val="18"/>
          <w:szCs w:val="18"/>
        </w:rPr>
        <w:t xml:space="preserve">of the striatum. </w:t>
      </w:r>
      <w:r w:rsidR="00FD2DAE">
        <w:rPr>
          <w:rFonts w:ascii="Times" w:hAnsi="Times"/>
          <w:sz w:val="18"/>
          <w:szCs w:val="18"/>
        </w:rPr>
        <w:t xml:space="preserve">The rationale here is that the spatial variation in the expression of genes tracks variations in an image-derived phenotype. </w:t>
      </w:r>
      <w:r w:rsidR="00000A77" w:rsidRPr="0052679C">
        <w:rPr>
          <w:rFonts w:ascii="Times" w:hAnsi="Times"/>
          <w:sz w:val="18"/>
          <w:szCs w:val="18"/>
        </w:rPr>
        <w:t xml:space="preserve">As proteins form the backbone of cellular machinery, we </w:t>
      </w:r>
      <w:r w:rsidR="00B45F78">
        <w:rPr>
          <w:rFonts w:ascii="Times" w:hAnsi="Times"/>
          <w:sz w:val="18"/>
          <w:szCs w:val="18"/>
        </w:rPr>
        <w:t>finall</w:t>
      </w:r>
      <w:bookmarkStart w:id="0" w:name="_GoBack"/>
      <w:bookmarkEnd w:id="0"/>
      <w:r w:rsidR="00B45F78">
        <w:rPr>
          <w:rFonts w:ascii="Times" w:hAnsi="Times"/>
          <w:sz w:val="18"/>
          <w:szCs w:val="18"/>
        </w:rPr>
        <w:t>y</w:t>
      </w:r>
      <w:r w:rsidR="00000A77" w:rsidRPr="0052679C">
        <w:rPr>
          <w:rFonts w:ascii="Times" w:hAnsi="Times"/>
          <w:sz w:val="18"/>
          <w:szCs w:val="18"/>
        </w:rPr>
        <w:t xml:space="preserve"> analyzed </w:t>
      </w:r>
      <w:r w:rsidR="00AB78A2" w:rsidRPr="0052679C">
        <w:rPr>
          <w:rFonts w:ascii="Times" w:hAnsi="Times"/>
          <w:sz w:val="18"/>
          <w:szCs w:val="18"/>
        </w:rPr>
        <w:t>functional</w:t>
      </w:r>
      <w:r w:rsidR="008738B3">
        <w:rPr>
          <w:rFonts w:ascii="Times" w:hAnsi="Times"/>
          <w:sz w:val="18"/>
          <w:szCs w:val="18"/>
        </w:rPr>
        <w:t xml:space="preserve"> </w:t>
      </w:r>
      <w:r w:rsidR="00000A77" w:rsidRPr="0052679C">
        <w:rPr>
          <w:rFonts w:ascii="Times" w:hAnsi="Times"/>
          <w:sz w:val="18"/>
          <w:szCs w:val="18"/>
        </w:rPr>
        <w:t>protein-protein interactions networks of genes exhibiting</w:t>
      </w:r>
      <w:r w:rsidR="00E2234F" w:rsidRPr="0052679C">
        <w:rPr>
          <w:rFonts w:ascii="Times" w:hAnsi="Times"/>
          <w:sz w:val="18"/>
          <w:szCs w:val="18"/>
        </w:rPr>
        <w:t xml:space="preserve"> maximum co-variance with </w:t>
      </w:r>
      <w:r w:rsidR="00E7221A">
        <w:rPr>
          <w:rFonts w:ascii="Times" w:hAnsi="Times"/>
          <w:sz w:val="18"/>
          <w:szCs w:val="18"/>
        </w:rPr>
        <w:t>striatal</w:t>
      </w:r>
      <w:r w:rsidR="002D0D9F" w:rsidRPr="0052679C">
        <w:rPr>
          <w:rFonts w:ascii="Times" w:hAnsi="Times"/>
          <w:sz w:val="18"/>
          <w:szCs w:val="18"/>
        </w:rPr>
        <w:t xml:space="preserve"> </w:t>
      </w:r>
      <w:r w:rsidR="00E2234F" w:rsidRPr="0052679C">
        <w:rPr>
          <w:rFonts w:ascii="Times" w:hAnsi="Times"/>
          <w:sz w:val="18"/>
          <w:szCs w:val="18"/>
        </w:rPr>
        <w:t xml:space="preserve">QSM </w:t>
      </w:r>
      <w:r w:rsidR="00B45F78">
        <w:rPr>
          <w:rFonts w:ascii="Times" w:hAnsi="Times"/>
          <w:sz w:val="18"/>
          <w:szCs w:val="18"/>
        </w:rPr>
        <w:t>statistical maps</w:t>
      </w:r>
      <w:r w:rsidR="00FD1881" w:rsidRPr="0052679C">
        <w:rPr>
          <w:rFonts w:ascii="Times" w:hAnsi="Times"/>
          <w:sz w:val="18"/>
          <w:szCs w:val="18"/>
        </w:rPr>
        <w:t xml:space="preserve"> </w:t>
      </w:r>
      <w:r w:rsidR="00A10557" w:rsidRPr="0052679C">
        <w:rPr>
          <w:rFonts w:ascii="Times" w:hAnsi="Times"/>
          <w:sz w:val="18"/>
          <w:szCs w:val="18"/>
        </w:rPr>
        <w:t>by uncovering latent variables via Partial Least Squares (PLS) regression</w:t>
      </w:r>
      <w:r w:rsidR="00FD1881" w:rsidRPr="0052679C">
        <w:rPr>
          <w:rFonts w:ascii="Times" w:hAnsi="Times"/>
          <w:sz w:val="18"/>
          <w:szCs w:val="18"/>
        </w:rPr>
        <w:t xml:space="preserve">. </w:t>
      </w:r>
    </w:p>
    <w:p w14:paraId="6DC8B1B0" w14:textId="77777777" w:rsidR="00FD2DAE" w:rsidRPr="007746A1" w:rsidRDefault="00FD2DAE" w:rsidP="00B16DC6">
      <w:pPr>
        <w:rPr>
          <w:b/>
          <w:bCs/>
          <w:sz w:val="28"/>
          <w:szCs w:val="28"/>
        </w:rPr>
      </w:pPr>
    </w:p>
    <w:p w14:paraId="58D4A635" w14:textId="2DAB3447" w:rsidR="00E7221A" w:rsidRDefault="0052679C" w:rsidP="009A0F06">
      <w:pPr>
        <w:rPr>
          <w:b/>
          <w:bCs/>
          <w:sz w:val="18"/>
          <w:szCs w:val="18"/>
        </w:rPr>
      </w:pPr>
      <w:r>
        <w:rPr>
          <w:b/>
          <w:bCs/>
          <w:sz w:val="18"/>
          <w:szCs w:val="18"/>
        </w:rPr>
        <w:t>Neuroimaging</w:t>
      </w:r>
    </w:p>
    <w:p w14:paraId="037B3FF4" w14:textId="544A086F" w:rsidR="00B1233F" w:rsidRDefault="0052679C" w:rsidP="00B1233F">
      <w:pPr>
        <w:autoSpaceDE w:val="0"/>
        <w:autoSpaceDN w:val="0"/>
        <w:adjustRightInd w:val="0"/>
        <w:jc w:val="both"/>
        <w:rPr>
          <w:sz w:val="18"/>
          <w:szCs w:val="18"/>
        </w:rPr>
      </w:pPr>
      <w:r w:rsidRPr="007746A1">
        <w:rPr>
          <w:i/>
          <w:sz w:val="18"/>
          <w:szCs w:val="18"/>
        </w:rPr>
        <w:t>T</w:t>
      </w:r>
      <w:r w:rsidRPr="007746A1">
        <w:rPr>
          <w:sz w:val="18"/>
          <w:szCs w:val="18"/>
          <w:vertAlign w:val="subscript"/>
        </w:rPr>
        <w:t>1</w:t>
      </w:r>
      <w:r w:rsidRPr="007746A1">
        <w:rPr>
          <w:sz w:val="18"/>
          <w:szCs w:val="18"/>
        </w:rPr>
        <w:t>- and susceptibility</w:t>
      </w:r>
      <w:r w:rsidR="000D740A">
        <w:rPr>
          <w:sz w:val="18"/>
          <w:szCs w:val="18"/>
        </w:rPr>
        <w:t>-</w:t>
      </w:r>
      <w:r w:rsidRPr="007746A1">
        <w:rPr>
          <w:sz w:val="18"/>
          <w:szCs w:val="18"/>
        </w:rPr>
        <w:t xml:space="preserve">weighted data were available from 28 GTS patients (5 </w:t>
      </w:r>
      <w:proofErr w:type="gramStart"/>
      <w:r w:rsidRPr="007746A1">
        <w:rPr>
          <w:sz w:val="18"/>
          <w:szCs w:val="18"/>
        </w:rPr>
        <w:t>female</w:t>
      </w:r>
      <w:proofErr w:type="gramEnd"/>
      <w:r w:rsidRPr="007746A1">
        <w:rPr>
          <w:sz w:val="18"/>
          <w:szCs w:val="18"/>
        </w:rPr>
        <w:t>, 18-65 years) and 26 healthy controls (8 female, 18-65 years)</w:t>
      </w:r>
      <w:r w:rsidR="00FD575A">
        <w:rPr>
          <w:sz w:val="18"/>
          <w:szCs w:val="18"/>
        </w:rPr>
        <w:t xml:space="preserve"> from a multi-parametric investigation</w:t>
      </w:r>
      <w:r w:rsidR="000D740A">
        <w:rPr>
          <w:sz w:val="18"/>
          <w:szCs w:val="18"/>
        </w:rPr>
        <w:t xml:space="preserve"> focused</w:t>
      </w:r>
      <w:r w:rsidR="00FA5044">
        <w:rPr>
          <w:sz w:val="18"/>
          <w:szCs w:val="18"/>
        </w:rPr>
        <w:t xml:space="preserve"> on GTS</w:t>
      </w:r>
      <w:r w:rsidR="00FD575A">
        <w:rPr>
          <w:sz w:val="18"/>
          <w:szCs w:val="18"/>
        </w:rPr>
        <w:t xml:space="preserve"> parts of which have been published elsewhere</w:t>
      </w:r>
      <w:r w:rsidR="00BC4B07">
        <w:rPr>
          <w:sz w:val="18"/>
          <w:szCs w:val="18"/>
        </w:rPr>
        <w:t xml:space="preserve"> (Kanaan, 2017</w:t>
      </w:r>
      <w:r w:rsidR="00AD7A2E">
        <w:rPr>
          <w:sz w:val="18"/>
          <w:szCs w:val="18"/>
        </w:rPr>
        <w:t xml:space="preserve">, Forde, 2016, </w:t>
      </w:r>
      <w:proofErr w:type="spellStart"/>
      <w:r w:rsidR="00AD7A2E">
        <w:rPr>
          <w:sz w:val="18"/>
          <w:szCs w:val="18"/>
        </w:rPr>
        <w:t>Gerasch</w:t>
      </w:r>
      <w:proofErr w:type="spellEnd"/>
      <w:r w:rsidR="00AD7A2E">
        <w:rPr>
          <w:sz w:val="18"/>
          <w:szCs w:val="18"/>
        </w:rPr>
        <w:t>, 2016</w:t>
      </w:r>
      <w:r w:rsidR="00BC4B07">
        <w:rPr>
          <w:sz w:val="18"/>
          <w:szCs w:val="18"/>
        </w:rPr>
        <w:t>)</w:t>
      </w:r>
      <w:r w:rsidRPr="007746A1">
        <w:rPr>
          <w:sz w:val="18"/>
          <w:szCs w:val="18"/>
        </w:rPr>
        <w:t>.</w:t>
      </w:r>
      <w:r w:rsidR="00D37F98">
        <w:rPr>
          <w:sz w:val="18"/>
          <w:szCs w:val="18"/>
        </w:rPr>
        <w:t xml:space="preserve"> </w:t>
      </w:r>
      <w:r w:rsidR="00BC4B07">
        <w:rPr>
          <w:sz w:val="18"/>
          <w:szCs w:val="18"/>
        </w:rPr>
        <w:t xml:space="preserve">Data available from an </w:t>
      </w:r>
      <w:r w:rsidR="00B03501">
        <w:rPr>
          <w:sz w:val="18"/>
          <w:szCs w:val="18"/>
        </w:rPr>
        <w:t>independent</w:t>
      </w:r>
      <w:r w:rsidR="00BC4B07">
        <w:rPr>
          <w:sz w:val="18"/>
          <w:szCs w:val="18"/>
        </w:rPr>
        <w:t xml:space="preserve"> sample of </w:t>
      </w:r>
      <w:r w:rsidR="00D37F98">
        <w:rPr>
          <w:sz w:val="18"/>
          <w:szCs w:val="18"/>
        </w:rPr>
        <w:t>N=100</w:t>
      </w:r>
      <w:r w:rsidR="00BC4B07">
        <w:rPr>
          <w:sz w:val="18"/>
          <w:szCs w:val="18"/>
        </w:rPr>
        <w:t xml:space="preserve"> healthy controls were used for supplementary </w:t>
      </w:r>
      <w:r w:rsidR="00AD7A2E">
        <w:rPr>
          <w:sz w:val="18"/>
          <w:szCs w:val="18"/>
        </w:rPr>
        <w:t xml:space="preserve">correlational </w:t>
      </w:r>
      <w:r w:rsidR="00BC4B07">
        <w:rPr>
          <w:sz w:val="18"/>
          <w:szCs w:val="18"/>
        </w:rPr>
        <w:t xml:space="preserve">investigations (Babayan, 2019). </w:t>
      </w:r>
      <w:r w:rsidR="00E7221A">
        <w:rPr>
          <w:sz w:val="18"/>
          <w:szCs w:val="18"/>
        </w:rPr>
        <w:t xml:space="preserve">To maximize the usability of the data, care was </w:t>
      </w:r>
      <w:r w:rsidR="00FD575A">
        <w:rPr>
          <w:sz w:val="18"/>
          <w:szCs w:val="18"/>
        </w:rPr>
        <w:t>employed</w:t>
      </w:r>
      <w:r w:rsidR="00E7221A">
        <w:rPr>
          <w:sz w:val="18"/>
          <w:szCs w:val="18"/>
        </w:rPr>
        <w:t xml:space="preserve"> to limit the effects of (a) pharmacological agents, (b) psychoactive substances</w:t>
      </w:r>
      <w:r w:rsidR="00FD575A">
        <w:rPr>
          <w:sz w:val="18"/>
          <w:szCs w:val="18"/>
        </w:rPr>
        <w:t>,</w:t>
      </w:r>
      <w:r w:rsidR="00E7221A">
        <w:rPr>
          <w:sz w:val="18"/>
          <w:szCs w:val="18"/>
        </w:rPr>
        <w:t xml:space="preserve"> </w:t>
      </w:r>
      <w:r w:rsidR="00FD575A">
        <w:rPr>
          <w:sz w:val="18"/>
          <w:szCs w:val="18"/>
        </w:rPr>
        <w:t xml:space="preserve">and </w:t>
      </w:r>
      <w:r w:rsidR="00E7221A">
        <w:rPr>
          <w:sz w:val="18"/>
          <w:szCs w:val="18"/>
        </w:rPr>
        <w:t xml:space="preserve">(c) variations in circadian rhythm and sleep cycles.  </w:t>
      </w:r>
      <w:r w:rsidRPr="007746A1">
        <w:rPr>
          <w:sz w:val="18"/>
          <w:szCs w:val="18"/>
        </w:rPr>
        <w:t xml:space="preserve">All measurements were performed on a 3T MAGNETOM </w:t>
      </w:r>
      <w:proofErr w:type="spellStart"/>
      <w:r w:rsidRPr="007746A1">
        <w:rPr>
          <w:sz w:val="18"/>
          <w:szCs w:val="18"/>
        </w:rPr>
        <w:t>Verio</w:t>
      </w:r>
      <w:proofErr w:type="spellEnd"/>
      <w:r w:rsidRPr="007746A1">
        <w:rPr>
          <w:sz w:val="18"/>
          <w:szCs w:val="18"/>
        </w:rPr>
        <w:t xml:space="preserve"> (Siemens </w:t>
      </w:r>
      <w:proofErr w:type="spellStart"/>
      <w:r w:rsidRPr="007746A1">
        <w:rPr>
          <w:sz w:val="18"/>
          <w:szCs w:val="18"/>
        </w:rPr>
        <w:t>Healthineers</w:t>
      </w:r>
      <w:proofErr w:type="spellEnd"/>
      <w:r w:rsidRPr="007746A1">
        <w:rPr>
          <w:sz w:val="18"/>
          <w:szCs w:val="18"/>
        </w:rPr>
        <w:t xml:space="preserve">, Erlangen, Germany) with a 32-channel head coil. Three-dimensional </w:t>
      </w:r>
      <w:r w:rsidRPr="007746A1">
        <w:rPr>
          <w:i/>
          <w:sz w:val="18"/>
          <w:szCs w:val="18"/>
        </w:rPr>
        <w:t>T</w:t>
      </w:r>
      <w:r w:rsidRPr="007746A1">
        <w:rPr>
          <w:sz w:val="18"/>
          <w:szCs w:val="18"/>
          <w:vertAlign w:val="subscript"/>
        </w:rPr>
        <w:t>1</w:t>
      </w:r>
      <w:r w:rsidRPr="007746A1">
        <w:rPr>
          <w:sz w:val="18"/>
          <w:szCs w:val="18"/>
        </w:rPr>
        <w:t xml:space="preserve">- and susceptibility-weighted data were acquired using MP2RAGE (repetition time, TR=5s; echo time, TE=3.93ms; inversion times, 0.7 and 2.5s; sagittal slab orientation; matrix 256×256×176; 1mm isotropic nominal resolution) and flow-compensated FLASH (flip angle 13°; TR=30ms; TE=17ms; matrix 256×256×160; 0.8mm isotropic nominal resolution), respectively. </w:t>
      </w:r>
      <w:r w:rsidR="00E7221A">
        <w:rPr>
          <w:sz w:val="18"/>
          <w:szCs w:val="18"/>
        </w:rPr>
        <w:t xml:space="preserve">Phase maps were </w:t>
      </w:r>
      <w:r w:rsidR="00E7221A" w:rsidRPr="007746A1">
        <w:rPr>
          <w:sz w:val="18"/>
          <w:szCs w:val="18"/>
        </w:rPr>
        <w:t>reconstructed from multi-channel complex signals using an automated, data-driven coil combination method</w:t>
      </w:r>
      <w:r w:rsidR="00E7221A">
        <w:rPr>
          <w:sz w:val="18"/>
          <w:szCs w:val="18"/>
        </w:rPr>
        <w:t xml:space="preserve"> (Bilgic,2016)</w:t>
      </w:r>
      <w:r w:rsidR="00B03501">
        <w:rPr>
          <w:sz w:val="18"/>
          <w:szCs w:val="18"/>
        </w:rPr>
        <w:t>. S</w:t>
      </w:r>
      <w:r w:rsidR="000D742F">
        <w:rPr>
          <w:sz w:val="18"/>
          <w:szCs w:val="18"/>
        </w:rPr>
        <w:t xml:space="preserve">usceptibility maps </w:t>
      </w:r>
      <w:r w:rsidR="00B03501">
        <w:rPr>
          <w:sz w:val="18"/>
          <w:szCs w:val="18"/>
        </w:rPr>
        <w:t xml:space="preserve">were reconstructed </w:t>
      </w:r>
      <w:r w:rsidR="008047E5">
        <w:rPr>
          <w:sz w:val="18"/>
          <w:szCs w:val="18"/>
        </w:rPr>
        <w:t>via</w:t>
      </w:r>
      <w:r w:rsidR="00710C74" w:rsidRPr="007746A1">
        <w:rPr>
          <w:sz w:val="18"/>
          <w:szCs w:val="18"/>
        </w:rPr>
        <w:t xml:space="preserve"> the superfast dipole inversion approach</w:t>
      </w:r>
      <w:r w:rsidR="00B1233F">
        <w:rPr>
          <w:sz w:val="18"/>
          <w:szCs w:val="18"/>
        </w:rPr>
        <w:t xml:space="preserve"> </w:t>
      </w:r>
      <w:r w:rsidR="00B1233F" w:rsidRPr="007746A1">
        <w:rPr>
          <w:sz w:val="18"/>
          <w:szCs w:val="18"/>
        </w:rPr>
        <w:fldChar w:fldCharType="begin" w:fldLock="1"/>
      </w:r>
      <w:r w:rsidR="00B1233F" w:rsidRPr="007746A1">
        <w:rPr>
          <w:sz w:val="18"/>
          <w:szCs w:val="18"/>
        </w:rPr>
        <w:instrText>ADDIN CSL_CITATION {"citationItems":[{"id":"ITEM-1","itemData":{"DOI":"10.1002/mrm.24405","ISSN":"1522-2594","abstract":"Magnetic susceptibility is an intrinsic tissue property that recently became measureable in vivo by a magnetic-resonance based technique called quantitative susceptibility mapping (QSM). Although QSM may be performed without additional acquisition time, for example, in the course of the well-established susceptibility weighted imaging, the applicability of QSM is currently hampered by the numerical complexity and computational cost associated with the reconstruction procedure. This work introduces a novel QSM framework called superfast dipole inversion which allows rapid online reconstruction of susceptibility maps from wrapped raw gradient-echo phase data. The algorithm relies on the extension and combination of several recent algorithms involving the precalculation of convolution kernels and the correction of inversion artifacts. Reconstruction of three-dimensional high resolution susceptibility maps of the human brain was achieved with superfast dipole inversion in less than 20 s on a conventional workstation computer. Thus, superfast dipole inversion opens the door to an implementation of QSM on MR scanner hardware as well as to the routine reconstruction of large cohorts of datasets. Magn Reson Med, 2013. © 2012 Wiley Periodicals, Inc.","author":[{"dropping-particle":"","family":"Schweser","given":"Ferdinand","non-dropping-particle":"","parse-names":false,"suffix":""},{"dropping-particle":"","family":"Deistung","given":"Andreas","non-dropping-particle":"","parse-names":false,"suffix":""},{"dropping-particle":"","family":"Sommer","given":"Karsten","non-dropping-particle":"","parse-names":false,"suffix":""},{"dropping-particle":"","family":"Reichenbach","given":"Jürgen Rainer","non-dropping-particle":"","parse-names":false,"suffix":""}],"container-title":"Magnetic Resonance in Medicine","id":"ITEM-1","issue":"6","issued":{"date-parts":[["2013","6"]]},"page":"1581-1593","title":"Toward online reconstruction of quantitative susceptibility maps: {Superfast} dipole inversion","title-short":"Toward online reconstruction of quantitative susce","type":"article-journal","volume":"69"},"uris":["http://www.mendeley.com/documents/?uuid=84e0f5bd-7ac0-44ac-8797-1fc5268c5746"]}],"mendeley":{"formattedCitation":"(Schweser et al. 2013)","plainTextFormattedCitation":"(Schweser et al. 2013)","previouslyFormattedCitation":"(Schweser et al. 2013)"},"properties":{"noteIndex":0},"schema":"https://github.com/citation-style-language/schema/raw/master/csl-citation.json"}</w:instrText>
      </w:r>
      <w:r w:rsidR="00B1233F" w:rsidRPr="007746A1">
        <w:rPr>
          <w:sz w:val="18"/>
          <w:szCs w:val="18"/>
        </w:rPr>
        <w:fldChar w:fldCharType="separate"/>
      </w:r>
      <w:r w:rsidR="00B1233F" w:rsidRPr="007746A1">
        <w:rPr>
          <w:noProof/>
          <w:sz w:val="18"/>
          <w:szCs w:val="18"/>
        </w:rPr>
        <w:t>(Schweser et al. 2013)</w:t>
      </w:r>
      <w:r w:rsidR="00B1233F" w:rsidRPr="007746A1">
        <w:rPr>
          <w:sz w:val="18"/>
          <w:szCs w:val="18"/>
        </w:rPr>
        <w:fldChar w:fldCharType="end"/>
      </w:r>
      <w:r w:rsidR="00B03501">
        <w:rPr>
          <w:sz w:val="18"/>
          <w:szCs w:val="18"/>
        </w:rPr>
        <w:t xml:space="preserve"> and </w:t>
      </w:r>
      <w:r w:rsidR="008047E5" w:rsidRPr="007746A1">
        <w:rPr>
          <w:sz w:val="18"/>
          <w:szCs w:val="18"/>
        </w:rPr>
        <w:t xml:space="preserve">were referenced to median cerebrospinal fluid susceptibility measured within a subject-specific mask of the lateral ventricles </w:t>
      </w:r>
      <w:r w:rsidR="008047E5" w:rsidRPr="007746A1">
        <w:rPr>
          <w:sz w:val="18"/>
          <w:szCs w:val="18"/>
        </w:rPr>
        <w:fldChar w:fldCharType="begin" w:fldLock="1"/>
      </w:r>
      <w:r w:rsidR="008047E5" w:rsidRPr="007746A1">
        <w:rPr>
          <w:sz w:val="18"/>
          <w:szCs w:val="18"/>
        </w:rPr>
        <w:instrText>ADDIN CSL_CITATION {"citationItems":[{"id":"ITEM-1","itemData":{"DOI":"10.1002/mrm.26369","ISSN":"15222594","abstract":"Purpose Since quantitative susceptibility mapping (QSM) quantifies magnetic susceptibility relative to a reference value, a suitable reference tissue has to be available to compare different subjects and stages of disease. Methods To find such a suitable reference tissue for QSM of the brain, melanoma patients with and without brain metastases were measured. Twelve reference regions were chosen and assessed for stability of susceptibility values with respect to multiple intra-individual and inter-individual measurements, age, and stage of disease. Results Cerebrospinal fluid (CSF), the internal capsule and one region in the splenium of the corpus callosum are the regions with the smallest standard deviations of the mean susceptibility value. The mean susceptibility is 0.010 ± 0.014 ppm for CSF in the atrium of the lateral ventricles (csfpost), −0.060 ± 0.019 ppm for the posterior limb of the internal capsule (ci2), and −0.008 ± 0.019 ppm for the splenium of the corpus callosum. csfpost and ci2 show nearly no dependence on age or stage of disease, whereas some other regions, e.g., the red nucleus, show moderate dependence on age or disease. Conclusion The internal capsule and CSF appear to be the most suitable reference regions for QSM of the brain in the melanoma patients studied. Both showed virtually no dependence on age or disease and small variations among patients. Magn Reson Med, 2016. © 2016 International Society for Magnetic Resonance in Medicine","author":[{"dropping-particle":"","family":"Straub","given":"Sina","non-dropping-particle":"","parse-names":false,"suffix":""},{"dropping-particle":"","family":"Schneider","given":"Till M.","non-dropping-particle":"","parse-names":false,"suffix":""},{"dropping-particle":"","family":"Emmerich","given":"Julian","non-dropping-particle":"","parse-names":false,"suffix":""},{"dropping-particle":"","family":"Freitag","given":"Martin T.","non-dropping-particle":"","parse-names":false,"suffix":""},{"dropping-particle":"","family":"Ziener","given":"Christian H.","non-dropping-particle":"","parse-names":false,"suffix":""},{"dropping-particle":"","family":"Schlemmer","given":"Heinz Peter","non-dropping-particle":"","parse-names":false,"suffix":""},{"dropping-particle":"","family":"Ladd","given":"Mark E.","non-dropping-particle":"","parse-names":false,"suffix":""},{"dropping-particle":"","family":"Laun","given":"Frederik B.","non-dropping-particle":"","parse-names":false,"suffix":""}],"container-title":"Magnetic Resonance in Medicine","id":"ITEM-1","issued":{"date-parts":[["2016"]]},"title":"Suitable reference tissues for quantitative susceptibility mapping of the brain","type":"article-journal","volume":"doi: 10.10"},"uris":["http://www.mendeley.com/documents/?uuid=7227475a-50d5-49c9-860d-9299ba818e74"]}],"mendeley":{"formattedCitation":"(Straub et al. 2016)","plainTextFormattedCitation":"(Straub et al. 2016)","previouslyFormattedCitation":"(Straub et al. 2016)"},"properties":{"noteIndex":0},"schema":"https://github.com/citation-style-language/schema/raw/master/csl-citation.json"}</w:instrText>
      </w:r>
      <w:r w:rsidR="008047E5" w:rsidRPr="007746A1">
        <w:rPr>
          <w:sz w:val="18"/>
          <w:szCs w:val="18"/>
        </w:rPr>
        <w:fldChar w:fldCharType="separate"/>
      </w:r>
      <w:r w:rsidR="008047E5" w:rsidRPr="007746A1">
        <w:rPr>
          <w:noProof/>
          <w:sz w:val="18"/>
          <w:szCs w:val="18"/>
        </w:rPr>
        <w:t>(Straub et al. 2016)</w:t>
      </w:r>
      <w:r w:rsidR="008047E5" w:rsidRPr="007746A1">
        <w:rPr>
          <w:sz w:val="18"/>
          <w:szCs w:val="18"/>
        </w:rPr>
        <w:fldChar w:fldCharType="end"/>
      </w:r>
      <w:r w:rsidR="008047E5" w:rsidRPr="007746A1">
        <w:rPr>
          <w:sz w:val="18"/>
          <w:szCs w:val="18"/>
        </w:rPr>
        <w:t>.</w:t>
      </w:r>
      <w:r w:rsidR="00812716">
        <w:rPr>
          <w:sz w:val="18"/>
          <w:szCs w:val="18"/>
        </w:rPr>
        <w:t xml:space="preserve"> </w:t>
      </w:r>
      <w:r w:rsidR="000D742F" w:rsidRPr="007746A1">
        <w:rPr>
          <w:sz w:val="18"/>
          <w:szCs w:val="18"/>
        </w:rPr>
        <w:t xml:space="preserve">Carefully delineated masks of </w:t>
      </w:r>
      <w:r w:rsidR="004A699D">
        <w:rPr>
          <w:sz w:val="18"/>
          <w:szCs w:val="18"/>
        </w:rPr>
        <w:t xml:space="preserve">the deep grey matter nuclei were generated via </w:t>
      </w:r>
      <w:r w:rsidR="006269D2">
        <w:rPr>
          <w:sz w:val="18"/>
          <w:szCs w:val="18"/>
        </w:rPr>
        <w:t xml:space="preserve">(a) automated segmentation of </w:t>
      </w:r>
      <w:r w:rsidR="004A699D" w:rsidRPr="007746A1">
        <w:rPr>
          <w:sz w:val="18"/>
          <w:szCs w:val="18"/>
        </w:rPr>
        <w:t>hybrid-contrast MP2RAGE-QSM images</w:t>
      </w:r>
      <w:r w:rsidR="004A699D">
        <w:rPr>
          <w:sz w:val="18"/>
          <w:szCs w:val="18"/>
        </w:rPr>
        <w:t xml:space="preserve"> </w:t>
      </w:r>
      <w:r w:rsidR="00812716">
        <w:rPr>
          <w:sz w:val="18"/>
          <w:szCs w:val="18"/>
        </w:rPr>
        <w:t xml:space="preserve">for the basal ganglia </w:t>
      </w:r>
      <w:r w:rsidR="00B03501">
        <w:rPr>
          <w:sz w:val="18"/>
          <w:szCs w:val="18"/>
        </w:rPr>
        <w:t xml:space="preserve">(FSL-first ref) </w:t>
      </w:r>
      <w:r w:rsidR="004A699D">
        <w:rPr>
          <w:sz w:val="18"/>
          <w:szCs w:val="18"/>
        </w:rPr>
        <w:t xml:space="preserve">and </w:t>
      </w:r>
      <w:r w:rsidR="001B411A">
        <w:rPr>
          <w:sz w:val="18"/>
          <w:szCs w:val="18"/>
        </w:rPr>
        <w:t xml:space="preserve">(b) </w:t>
      </w:r>
      <w:r w:rsidR="004A699D">
        <w:rPr>
          <w:sz w:val="18"/>
          <w:szCs w:val="18"/>
        </w:rPr>
        <w:t>non-linear transformation</w:t>
      </w:r>
      <w:r w:rsidR="00161123">
        <w:rPr>
          <w:sz w:val="18"/>
          <w:szCs w:val="18"/>
        </w:rPr>
        <w:t xml:space="preserve"> of atlas-based masks for the brainstem</w:t>
      </w:r>
      <w:r w:rsidR="00B03501">
        <w:rPr>
          <w:sz w:val="18"/>
          <w:szCs w:val="18"/>
        </w:rPr>
        <w:t xml:space="preserve"> (ATAK ref)</w:t>
      </w:r>
      <w:r w:rsidR="004A699D">
        <w:rPr>
          <w:sz w:val="18"/>
          <w:szCs w:val="18"/>
        </w:rPr>
        <w:t xml:space="preserve">. </w:t>
      </w:r>
      <w:r w:rsidR="00AD1395">
        <w:rPr>
          <w:sz w:val="18"/>
          <w:szCs w:val="18"/>
        </w:rPr>
        <w:t>Outlier</w:t>
      </w:r>
      <w:r w:rsidR="00CC46B6">
        <w:rPr>
          <w:sz w:val="18"/>
          <w:szCs w:val="18"/>
        </w:rPr>
        <w:t xml:space="preserve"> </w:t>
      </w:r>
      <w:r w:rsidR="00AD7A2E">
        <w:rPr>
          <w:sz w:val="18"/>
          <w:szCs w:val="18"/>
        </w:rPr>
        <w:t>data as a result of</w:t>
      </w:r>
      <w:r w:rsidR="00AD1395">
        <w:rPr>
          <w:sz w:val="18"/>
          <w:szCs w:val="18"/>
        </w:rPr>
        <w:t xml:space="preserve"> </w:t>
      </w:r>
      <w:r w:rsidR="00AD7A2E">
        <w:rPr>
          <w:sz w:val="18"/>
          <w:szCs w:val="18"/>
        </w:rPr>
        <w:t xml:space="preserve">possible motion </w:t>
      </w:r>
      <w:r w:rsidR="00AD1395">
        <w:rPr>
          <w:sz w:val="18"/>
          <w:szCs w:val="18"/>
        </w:rPr>
        <w:t xml:space="preserve">artifacts were detected via a </w:t>
      </w:r>
      <w:r w:rsidR="00AD1395" w:rsidRPr="007746A1">
        <w:rPr>
          <w:sz w:val="18"/>
          <w:szCs w:val="18"/>
        </w:rPr>
        <w:t xml:space="preserve">multivariate outlier-detection approach </w:t>
      </w:r>
      <w:r w:rsidR="0038083D">
        <w:rPr>
          <w:sz w:val="18"/>
          <w:szCs w:val="18"/>
        </w:rPr>
        <w:t xml:space="preserve">implemented </w:t>
      </w:r>
      <w:r w:rsidR="00AD1395">
        <w:rPr>
          <w:sz w:val="18"/>
          <w:szCs w:val="18"/>
        </w:rPr>
        <w:t xml:space="preserve">on </w:t>
      </w:r>
      <w:r w:rsidR="003A311F">
        <w:rPr>
          <w:sz w:val="18"/>
          <w:szCs w:val="18"/>
        </w:rPr>
        <w:t>spatial</w:t>
      </w:r>
      <w:r w:rsidR="00AD7A2E">
        <w:rPr>
          <w:sz w:val="18"/>
          <w:szCs w:val="18"/>
        </w:rPr>
        <w:t xml:space="preserve"> </w:t>
      </w:r>
      <w:r w:rsidR="003A311F" w:rsidRPr="007746A1">
        <w:rPr>
          <w:sz w:val="18"/>
          <w:szCs w:val="18"/>
        </w:rPr>
        <w:t>image</w:t>
      </w:r>
      <w:r w:rsidR="00AD7A2E">
        <w:rPr>
          <w:sz w:val="18"/>
          <w:szCs w:val="18"/>
        </w:rPr>
        <w:t xml:space="preserve"> </w:t>
      </w:r>
      <w:r w:rsidR="003A311F" w:rsidRPr="007746A1">
        <w:rPr>
          <w:sz w:val="18"/>
          <w:szCs w:val="18"/>
        </w:rPr>
        <w:t xml:space="preserve">quality and susceptibility </w:t>
      </w:r>
      <w:r w:rsidR="00B03501">
        <w:rPr>
          <w:sz w:val="18"/>
          <w:szCs w:val="18"/>
        </w:rPr>
        <w:t xml:space="preserve">indices </w:t>
      </w:r>
      <w:r w:rsidR="00B03501" w:rsidRPr="007746A1">
        <w:rPr>
          <w:sz w:val="18"/>
          <w:szCs w:val="18"/>
        </w:rPr>
        <w:fldChar w:fldCharType="begin" w:fldLock="1"/>
      </w:r>
      <w:r w:rsidR="00B03501" w:rsidRPr="007746A1">
        <w:rPr>
          <w:sz w:val="18"/>
          <w:szCs w:val="18"/>
        </w:rPr>
        <w:instrText>ADDIN CSL_CITATION {"citationItems":[{"id":"ITEM-1","itemData":{"ISSN":"20734859","abstract":"Abstract Assessing the assumption of multivariate normality is required by many parametric mul- tivariate statistical methods, such as MANOVA, linear discriminant analysis, principal component analysis, canonical correlation, etc. It is important to assess multivariate normality in order to proceed with such statistical methods. There are many analytical methods proposed for checking multivariate normality. However, deciding which method to use is a challenging process, since each method may give different results under certain conditions. Hence, we may say that there is no best method, which is valid under any condition, for normality checking. In addition to numerical results, it is very useful to use graphical methods to decide on multivariate normality. Combining the numerical results from several methods with graphical approaches can be useful and provide more reliable decisions. Here, we present an R package, MVN, to assess multivariate normality. It contains the three most widely used multivariate normality tests, including Mardia’s, Henze-Zirkler’s and Royston’s, and graphical approaches, including chi-square Q-Q, perspective and contour plots. It also includes two multivariate outlier detection methods, which are based on robust Mahalanobis distances. Moreover, this package offers functions to check the univariate normality of marginal distributions through both tests and plots. Furthermore, especially for non-R users, we provide a user-friendly web application of the package. This application is available at http://www.biosoft.hacettepe.edu.tr/MVN/.","author":[{"dropping-particle":"","family":"Korkmaz","given":"Selcuk","non-dropping-particle":"","parse-names":false,"suffix":""},{"dropping-particle":"","family":"Goksuluk","given":"Dincer","non-dropping-particle":"","parse-names":false,"suffix":""},{"dropping-particle":"","family":"Zararsiz","given":"Gokmen","non-dropping-particle":"","parse-names":false,"suffix":""}],"container-title":"The R Journal","id":"ITEM-1","issue":"2013","issued":{"date-parts":[["2014"]]},"page":"151-162","title":"MVN: An R package for assessing multivariate normality","type":"article-journal","volume":"6"},"uris":["http://www.mendeley.com/documents/?uuid=c2b372da-c935-42d8-ad13-f009b13c5d24"]}],"mendeley":{"formattedCitation":"(Korkmaz, Goksuluk, and Zararsiz 2014)","plainTextFormattedCitation":"(Korkmaz, Goksuluk, and Zararsiz 2014)","previouslyFormattedCitation":"(Korkmaz, Goksuluk, and Zararsiz 2014)"},"properties":{"noteIndex":0},"schema":"https://github.com/citation-style-language/schema/raw/master/csl-citation.json"}</w:instrText>
      </w:r>
      <w:r w:rsidR="00B03501" w:rsidRPr="007746A1">
        <w:rPr>
          <w:sz w:val="18"/>
          <w:szCs w:val="18"/>
        </w:rPr>
        <w:fldChar w:fldCharType="separate"/>
      </w:r>
      <w:r w:rsidR="00B03501" w:rsidRPr="007746A1">
        <w:rPr>
          <w:noProof/>
          <w:sz w:val="18"/>
          <w:szCs w:val="18"/>
        </w:rPr>
        <w:t>(Korkmaz, Goksuluk, and Zararsiz 2014)</w:t>
      </w:r>
      <w:r w:rsidR="00B03501" w:rsidRPr="007746A1">
        <w:rPr>
          <w:sz w:val="18"/>
          <w:szCs w:val="18"/>
        </w:rPr>
        <w:fldChar w:fldCharType="end"/>
      </w:r>
      <w:r w:rsidR="003F77A7">
        <w:rPr>
          <w:sz w:val="18"/>
          <w:szCs w:val="18"/>
        </w:rPr>
        <w:t xml:space="preserve">. </w:t>
      </w:r>
    </w:p>
    <w:p w14:paraId="394301A2" w14:textId="5AA278E5" w:rsidR="00F279C1" w:rsidRDefault="00F279C1" w:rsidP="00B1233F">
      <w:pPr>
        <w:autoSpaceDE w:val="0"/>
        <w:autoSpaceDN w:val="0"/>
        <w:adjustRightInd w:val="0"/>
        <w:jc w:val="both"/>
        <w:rPr>
          <w:sz w:val="18"/>
          <w:szCs w:val="18"/>
        </w:rPr>
      </w:pPr>
    </w:p>
    <w:p w14:paraId="20A970D9" w14:textId="113F424F" w:rsidR="00F279C1" w:rsidRPr="007746A1" w:rsidRDefault="004A6D51" w:rsidP="00F279C1">
      <w:pPr>
        <w:autoSpaceDE w:val="0"/>
        <w:autoSpaceDN w:val="0"/>
        <w:adjustRightInd w:val="0"/>
        <w:jc w:val="both"/>
        <w:rPr>
          <w:sz w:val="18"/>
          <w:szCs w:val="18"/>
        </w:rPr>
      </w:pPr>
      <w:r w:rsidRPr="007746A1">
        <w:rPr>
          <w:sz w:val="18"/>
          <w:szCs w:val="18"/>
        </w:rPr>
        <w:t xml:space="preserve">All patients underwent a thorough clinical assessment battery </w:t>
      </w:r>
      <w:r w:rsidR="00AD7A2E">
        <w:rPr>
          <w:sz w:val="18"/>
          <w:szCs w:val="18"/>
        </w:rPr>
        <w:t>indexing</w:t>
      </w:r>
      <w:r w:rsidRPr="007746A1">
        <w:rPr>
          <w:sz w:val="18"/>
          <w:szCs w:val="18"/>
        </w:rPr>
        <w:t xml:space="preserve"> </w:t>
      </w:r>
      <w:r w:rsidRPr="007746A1">
        <w:rPr>
          <w:i/>
          <w:sz w:val="18"/>
          <w:szCs w:val="18"/>
        </w:rPr>
        <w:t>(a)</w:t>
      </w:r>
      <w:r w:rsidRPr="007746A1">
        <w:rPr>
          <w:sz w:val="18"/>
          <w:szCs w:val="18"/>
        </w:rPr>
        <w:t xml:space="preserve"> tics using the Yale Global Tic Severity Scale (YGTSS) </w:t>
      </w:r>
      <w:r w:rsidRPr="007746A1">
        <w:rPr>
          <w:sz w:val="18"/>
          <w:szCs w:val="18"/>
        </w:rPr>
        <w:fldChar w:fldCharType="begin" w:fldLock="1"/>
      </w:r>
      <w:r w:rsidRPr="007746A1">
        <w:rPr>
          <w:sz w:val="18"/>
          <w:szCs w:val="18"/>
        </w:rPr>
        <w:instrText>ADDIN CSL_CITATION { "citationItems" : [ { "id" : "ITEM-1", "itemData" : { "DOI" : "10.1097/00004583-198907000-00015", "ISBN" : "0890-8567 (Print)\\n0890-8567 (Linking)", "ISSN" : "0890-8567", "PMID" : "2768151", "abstract" : "Despite the overt nature of most motor and phonic tic phenomena, the development of valid and reliable scales to rate tic severity has been an elusive goal. The Yale Global Tic Severity Scale (YGTSS) is a new clinical rating instrument that was designed for use in studies of Tourette's syndrome and other tic disorders. The YGTSS provides an evaluation of the number, frequency, intensity, complexity, and interference of motor and phonic symptoms. Data from 105 subjects, aged 5 to 51 years, support the construct, convergent, and discriminant validity of the instrument. These results indicate that the YGTSS is a promising instrument for the assessment of tic severity in children, adolescents and adults.", "author" : [ { "dropping-particle" : "", "family" : "Leckman", "given" : "James F", "non-dropping-particle" : "", "parse-names" : false, "suffix" : "" }, { "dropping-particle" : "", "family" : "Riddle", "given" : "Mark A", "non-dropping-particle" : "", "parse-names" : false, "suffix" : "" }, { "dropping-particle" : "", "family" : "Hardin", "given" : "Maureen T", "non-dropping-particle" : "", "parse-names" : false, "suffix" : "" }, { "dropping-particle" : "", "family" : "Ort", "given" : "Sharon I", "non-dropping-particle" : "", "parse-names" : false, "suffix" : "" }, { "dropping-particle" : "", "family" : "Swartz", "given" : "Karen L", "non-dropping-particle" : "", "parse-names" : false, "suffix" : "" }, { "dropping-particle" : "", "family" : "Stevenson", "given" : "John", "non-dropping-particle" : "", "parse-names" : false, "suffix" : "" }, { "dropping-particle" : "", "family" : "Cohen", "given" : "Donald J", "non-dropping-particle" : "", "parse-names" : false, "suffix" : "" } ], "container-title" : "Journal of the American Academy of Child and Adolescent Psychiatry", "id" : "ITEM-1", "issue" : "4", "issued" : { "date-parts" : [ [ "1989" ] ] }, "page" : "566-573", "title" : "The Yale Global Tic Severity Scale: initial testing of a clinician-rated scale of tic severity.", "type" : "article-journal", "volume" : "28" }, "uris" : [ "http://www.mendeley.com/documents/?uuid=3e193f37-5781-479d-9730-dec8cf149608" ] } ], "mendeley" : { "formattedCitation" : "(Leckman &lt;i&gt;et al.&lt;/i&gt;, 1989)", "plainTextFormattedCitation" : "(Leckman et al., 1989)", "previouslyFormattedCitation" : "(Leckman &lt;i&gt;et al.&lt;/i&gt;, 1989)" }, "properties" : {  }, "schema" : "https://github.com/citation-style-language/schema/raw/master/csl-citation.json" }</w:instrText>
      </w:r>
      <w:r w:rsidRPr="007746A1">
        <w:rPr>
          <w:sz w:val="18"/>
          <w:szCs w:val="18"/>
        </w:rPr>
        <w:fldChar w:fldCharType="separate"/>
      </w:r>
      <w:r w:rsidRPr="007746A1">
        <w:rPr>
          <w:noProof/>
          <w:sz w:val="18"/>
          <w:szCs w:val="18"/>
        </w:rPr>
        <w:t xml:space="preserve">(Leckman </w:t>
      </w:r>
      <w:r w:rsidRPr="007746A1">
        <w:rPr>
          <w:i/>
          <w:noProof/>
          <w:sz w:val="18"/>
          <w:szCs w:val="18"/>
        </w:rPr>
        <w:t>et al.</w:t>
      </w:r>
      <w:r w:rsidRPr="007746A1">
        <w:rPr>
          <w:noProof/>
          <w:sz w:val="18"/>
          <w:szCs w:val="18"/>
        </w:rPr>
        <w:t>, 1989)</w:t>
      </w:r>
      <w:r w:rsidRPr="007746A1">
        <w:rPr>
          <w:sz w:val="18"/>
          <w:szCs w:val="18"/>
        </w:rPr>
        <w:fldChar w:fldCharType="end"/>
      </w:r>
      <w:r w:rsidRPr="007746A1">
        <w:rPr>
          <w:sz w:val="18"/>
          <w:szCs w:val="18"/>
        </w:rPr>
        <w:t xml:space="preserve"> and the modified Rush Video-Based Tic Rating Scale (RVTRS) </w:t>
      </w:r>
      <w:r w:rsidRPr="007746A1">
        <w:rPr>
          <w:sz w:val="18"/>
          <w:szCs w:val="18"/>
        </w:rPr>
        <w:fldChar w:fldCharType="begin" w:fldLock="1"/>
      </w:r>
      <w:r w:rsidRPr="007746A1">
        <w:rPr>
          <w:sz w:val="18"/>
          <w:szCs w:val="18"/>
        </w:rPr>
        <w:instrText>ADDIN CSL_CITATION { "citationItems" : [ { "id" : "ITEM-1", "itemData" : { "DOI" : "10.1002/1531-8257(199905)14:3&lt;502::AID-MDS1020&gt;3.0.CO;2-G", "ISBN" : "0885-3185", "ISSN" : "08853185", "PMID" : "10348478", "abstract" : "Previously, we published a video-based objective rating scale of tics that met reliability and validity criteria for measurement of five domains of tic disability. In the original form, the scale's metric properties did not permit internal comparison of each of the five domains of impairment and did not provide a total score for use as a primary outcome measure. In this study, we retained the original scale and videotape protocol but tested whether a modified scoring system corrected these limitations. The new scoring method rated assigned tic data to ratings of 0-4 on five disability categories: number of body areas, frequency of motor tics, frequency of phonic tics, severity of motor tics, and severity of phonic tics. The sums of these ratings yielded a total score of overall tic disability (0-20). In a series of 31 patients with Gilles de la Tourette syndrome, we assessed Spearman correlation coefficients for the old and new scoring systems as well as the correlation of the new ratings with the objectively derived sections of the Yale Global Tic Severity Scale (YGTSS), another valid and reliable scale used in clinical practice and research. For each domain, the rank order for the scores on the original scale was well retained in the new scores. Likewise, for each domain, ranking with the new scoring system correlated well with scores on the comparable objective item from the YGTSS. The new total score accurately captured the rank order of the combined five domains from the original scale and correlated well with the total objective motor plus phonic tic score from the YGTSS and the YGTSS Tourette Syndrome Overall Impairment Rating. These data demonstrate that the modified videotape-based scoring system retains the essential information gathered in the original Rush scale. The modification provides comparisons among the five assessed domains and a total objectively based disability score that can be used as a single outcome measure for assessing tic disability.", "author" : [ { "dropping-particle" : "", "family" : "Goetz", "given" : "Christopher G", "non-dropping-particle" : "", "parse-names" : false, "suffix" : "" }, { "dropping-particle" : "", "family" : "Pappert", "given" : "Eric J", "non-dropping-particle" : "", "parse-names" : false, "suffix" : "" }, { "dropping-particle" : "", "family" : "Louis", "given" : "Elan D", "non-dropping-particle" : "", "parse-names" : false, "suffix" : "" }, { "dropping-particle" : "", "family" : "Raman", "given" : "Rema", "non-dropping-particle" : "", "parse-names" : false, "suffix" : "" }, { "dropping-particle" : "", "family" : "Leurgans", "given" : "Sue", "non-dropping-particle" : "", "parse-names" : false, "suffix" : "" } ], "container-title" : "Movement disorders: official journal of the Movement Disorder Society", "id" : "ITEM-1", "issue" : "3", "issued" : { "date-parts" : [ [ "1999" ] ] }, "page" : "502-506", "title" : "Advantages of a modified scoring method for the Rush video-based tic rating scale", "type" : "article-journal", "volume" : "14" }, "uris" : [ "http://www.mendeley.com/documents/?uuid=efd61a8e-a9c5-4343-99b8-6438c69fe9ce" ] } ], "mendeley" : { "formattedCitation" : "(Goetz &lt;i&gt;et al.&lt;/i&gt;, 1999)", "plainTextFormattedCitation" : "(Goetz et al., 1999)", "previouslyFormattedCitation" : "(Goetz &lt;i&gt;et al.&lt;/i&gt;, 1999)" }, "properties" : {  }, "schema" : "https://github.com/citation-style-language/schema/raw/master/csl-citation.json" }</w:instrText>
      </w:r>
      <w:r w:rsidRPr="007746A1">
        <w:rPr>
          <w:sz w:val="18"/>
          <w:szCs w:val="18"/>
        </w:rPr>
        <w:fldChar w:fldCharType="separate"/>
      </w:r>
      <w:r w:rsidRPr="007746A1">
        <w:rPr>
          <w:noProof/>
          <w:sz w:val="18"/>
          <w:szCs w:val="18"/>
        </w:rPr>
        <w:t xml:space="preserve">(Goetz </w:t>
      </w:r>
      <w:r w:rsidRPr="007746A1">
        <w:rPr>
          <w:i/>
          <w:noProof/>
          <w:sz w:val="18"/>
          <w:szCs w:val="18"/>
        </w:rPr>
        <w:t>et al.</w:t>
      </w:r>
      <w:r w:rsidRPr="007746A1">
        <w:rPr>
          <w:noProof/>
          <w:sz w:val="18"/>
          <w:szCs w:val="18"/>
        </w:rPr>
        <w:t>, 1999)</w:t>
      </w:r>
      <w:r w:rsidRPr="007746A1">
        <w:rPr>
          <w:sz w:val="18"/>
          <w:szCs w:val="18"/>
        </w:rPr>
        <w:fldChar w:fldCharType="end"/>
      </w:r>
      <w:r w:rsidRPr="007746A1">
        <w:rPr>
          <w:sz w:val="18"/>
          <w:szCs w:val="18"/>
        </w:rPr>
        <w:t xml:space="preserve">; </w:t>
      </w:r>
      <w:r w:rsidRPr="007746A1">
        <w:rPr>
          <w:i/>
          <w:sz w:val="18"/>
          <w:szCs w:val="18"/>
        </w:rPr>
        <w:t>(b)</w:t>
      </w:r>
      <w:r w:rsidRPr="007746A1">
        <w:rPr>
          <w:sz w:val="18"/>
          <w:szCs w:val="18"/>
        </w:rPr>
        <w:t xml:space="preserve"> obsessive compulsive behavior using the Yale-Brown Obsessive Compulsive Scale (Y-BOCS) </w:t>
      </w:r>
      <w:r w:rsidRPr="007746A1">
        <w:rPr>
          <w:sz w:val="18"/>
          <w:szCs w:val="18"/>
        </w:rPr>
        <w:fldChar w:fldCharType="begin" w:fldLock="1"/>
      </w:r>
      <w:r w:rsidRPr="007746A1">
        <w:rPr>
          <w:sz w:val="18"/>
          <w:szCs w:val="18"/>
        </w:rPr>
        <w:instrText>ADDIN CSL_CITATION { "citationItems" : [ { "id" : "ITEM-1", "itemData" : { "DOI" : "10.1001/archpsyc.1989.01810110048007", "ISBN" : "0003-990X", "ISSN" : "0003-990X", "PMID" : "2684084", "abstract" : "The Yale-Brown Obsessive Compulsive Scale was designed to remedy the problems of existing rating scales by providing a specific measure of the severity of symptoms of obsessive-compulsive disorder that is not influenced by the type of obsessions or compulsions present. The scale is a clinician-rated, 10-item scale, each item rated from 0 (no symptoms) to 4 (extreme symptoms) (total range, 0 to 40), with separate subtotals for severity of obsessions and compulsions. In a study involving four raters and 40 patients with obsessive-compulsive disorder at various stages of treatment, interrater reliability for the total Yale-Brown Scale score and each of the 10 individual items was excellent, with a high degree of internal consistency among all item scores demonstrated with Cronbach's alpha coefficient. Based on pretreatment assessment of 42 patients with obsessive-compulsive disorder, each item was frequently endorsed and measured across a range of severity. These findings suggest that the Yale-Brown Scale is a reliable instrument for measuring the severity of illness in patients with obsessive-compulsive disorder with a range of severity and types of obsessive-compulsive symptoms.", "author" : [ { "dropping-particle" : "", "family" : "Goodman", "given" : "Wayne K", "non-dropping-particle" : "", "parse-names" : false, "suffix" : "" }, { "dropping-particle" : "", "family" : "Price", "given" : "Lawrence H", "non-dropping-particle" : "", "parse-names" : false, "suffix" : "" }, { "dropping-particle" : "", "family" : "Rasmussen", "given" : "Steven A", "non-dropping-particle" : "", "parse-names" : false, "suffix" : "" }, { "dropping-particle" : "", "family" : "Mazure", "given" : "Carolyn", "non-dropping-particle" : "", "parse-names" : false, "suffix" : "" }, { "dropping-particle" : "", "family" : "Fleischmann", "given" : "Roberta L", "non-dropping-particle" : "", "parse-names" : false, "suffix" : "" }, { "dropping-particle" : "", "family" : "Hill", "given" : "Candy L", "non-dropping-particle" : "", "parse-names" : false, "suffix" : "" }, { "dropping-particle" : "", "family" : "Heninger", "given" : "George R", "non-dropping-particle" : "", "parse-names" : false, "suffix" : "" }, { "dropping-particle" : "", "family" : "Charney", "given" : "Dennis S", "non-dropping-particle" : "", "parse-names" : false, "suffix" : "" } ], "container-title" : "Archives of general psychiatry", "id" : "ITEM-1", "issue" : "11", "issued" : { "date-parts" : [ [ "1989" ] ] }, "page" : "1006-11", "title" : "The Yale-Brown Obsessive Compulsive Scale. I. Development, use, and reliability.", "type" : "article", "volume" : "46" }, "uris" : [ "http://www.mendeley.com/documents/?uuid=2d887d80-94ab-4a80-92c2-b8511b73f3f3" ] } ], "mendeley" : { "formattedCitation" : "(Goodman &lt;i&gt;et al.&lt;/i&gt;, 1989)", "plainTextFormattedCitation" : "(Goodman et al., 1989)", "previouslyFormattedCitation" : "(Goodman &lt;i&gt;et al.&lt;/i&gt;, 1989)" }, "properties" : {  }, "schema" : "https://github.com/citation-style-language/schema/raw/master/csl-citation.json" }</w:instrText>
      </w:r>
      <w:r w:rsidRPr="007746A1">
        <w:rPr>
          <w:sz w:val="18"/>
          <w:szCs w:val="18"/>
        </w:rPr>
        <w:fldChar w:fldCharType="separate"/>
      </w:r>
      <w:r w:rsidRPr="007746A1">
        <w:rPr>
          <w:noProof/>
          <w:sz w:val="18"/>
          <w:szCs w:val="18"/>
        </w:rPr>
        <w:t xml:space="preserve">(Goodman </w:t>
      </w:r>
      <w:r w:rsidRPr="007746A1">
        <w:rPr>
          <w:i/>
          <w:noProof/>
          <w:sz w:val="18"/>
          <w:szCs w:val="18"/>
        </w:rPr>
        <w:t>et al.</w:t>
      </w:r>
      <w:r w:rsidRPr="007746A1">
        <w:rPr>
          <w:noProof/>
          <w:sz w:val="18"/>
          <w:szCs w:val="18"/>
        </w:rPr>
        <w:t>, 1989)</w:t>
      </w:r>
      <w:r w:rsidRPr="007746A1">
        <w:rPr>
          <w:sz w:val="18"/>
          <w:szCs w:val="18"/>
        </w:rPr>
        <w:fldChar w:fldCharType="end"/>
      </w:r>
      <w:r w:rsidRPr="007746A1">
        <w:rPr>
          <w:sz w:val="18"/>
          <w:szCs w:val="18"/>
        </w:rPr>
        <w:t xml:space="preserve"> and the Revised Obsessive Compulsive Inventory (OCI-R) </w:t>
      </w:r>
      <w:r w:rsidRPr="007746A1">
        <w:rPr>
          <w:sz w:val="18"/>
          <w:szCs w:val="18"/>
        </w:rPr>
        <w:fldChar w:fldCharType="begin" w:fldLock="1"/>
      </w:r>
      <w:r w:rsidRPr="007746A1">
        <w:rPr>
          <w:sz w:val="18"/>
          <w:szCs w:val="18"/>
        </w:rPr>
        <w:instrText>ADDIN CSL_CITATION { "citationItems" : [ { "id" : "ITEM-1", "itemData" : { "DOI" : "10.1037/1040-3590.14.4.485", "ISBN" : "1040-3590 (Print)\\n1040-3590 (Linking)", "ISSN" : "1040-3590", "PMID" : "12501574", "abstract" : "This article reports on the development of a revised version of the Obsessive-Compulsive Inventory (OCI; E. B. Foa, M. J. Kozak, P. Salkovskis, M. E. Coles, &amp; N. Amir, 1998), a psychometrically sound, theoretically driven, self-report measure. The revised OCI (OCI-R) improves on the parent version in 3 ways: It eliminates the redundant frequency scale, simplifies the scoring of the subscales, and reduces overlap across subscales. The reliability and validity of the OCI-R were examined in 215 patients with obsessive-compulsive disorder (OCD), 243 patients with other anxiety disorders, and 677 nonanxious individuals. The OCI-R, which contains 18 items and 6 subscales, has retained excellent psychometric properties. The OCI-R and its subscales differentiated well between individuals with and without OCD. Receiver operating characteristic (ROC) analyses demonstrated the usefulness of the OCI-R as a diagnostic tool for screening patients with OCD, utilizing empirically derived cutscores.", "author" : [ { "dropping-particle" : "", "family" : "Foa", "given" : "Edna B", "non-dropping-particle" : "", "parse-names" : false, "suffix" : "" }, { "dropping-particle" : "", "family" : "Huppert", "given" : "Jonathan D", "non-dropping-particle" : "", "parse-names" : false, "suffix" : "" }, { "dropping-particle" : "", "family" : "Leiberg", "given" : "Susanne", "non-dropping-particle" : "", "parse-names" : false, "suffix" : "" }, { "dropping-particle" : "", "family" : "Langner", "given" : "Robert", "non-dropping-particle" : "", "parse-names" : false, "suffix" : "" }, { "dropping-particle" : "", "family" : "Kichic", "given" : "Rafael", "non-dropping-particle" : "", "parse-names" : false, "suffix" : "" }, { "dropping-particle" : "", "family" : "Hajcak", "given" : "Greg", "non-dropping-particle" : "", "parse-names" : false, "suffix" : "" }, { "dropping-particle" : "", "family" : "Salkovskis", "given" : "Paul M", "non-dropping-particle" : "", "parse-names" : false, "suffix" : "" } ], "container-title" : "Psychological assessment", "id" : "ITEM-1", "issued" : { "date-parts" : [ [ "2002" ] ] }, "page" : "485-496", "title" : "The Obsessive-Compulsive Inventory: development and validation of a short version.", "type" : "article-journal", "volume" : "14" }, "uris" : [ "http://www.mendeley.com/documents/?uuid=0526bfbb-7015-4ba2-a37e-46726ade05da" ] } ], "mendeley" : { "formattedCitation" : "(Foa &lt;i&gt;et al.&lt;/i&gt;, 2002)", "plainTextFormattedCitation" : "(Foa et al., 2002)", "previouslyFormattedCitation" : "(Foa &lt;i&gt;et al.&lt;/i&gt;, 2002)" }, "properties" : {  }, "schema" : "https://github.com/citation-style-language/schema/raw/master/csl-citation.json" }</w:instrText>
      </w:r>
      <w:r w:rsidRPr="007746A1">
        <w:rPr>
          <w:sz w:val="18"/>
          <w:szCs w:val="18"/>
        </w:rPr>
        <w:fldChar w:fldCharType="separate"/>
      </w:r>
      <w:r w:rsidRPr="007746A1">
        <w:rPr>
          <w:noProof/>
          <w:sz w:val="18"/>
          <w:szCs w:val="18"/>
        </w:rPr>
        <w:t xml:space="preserve">(Foa </w:t>
      </w:r>
      <w:r w:rsidRPr="007746A1">
        <w:rPr>
          <w:i/>
          <w:noProof/>
          <w:sz w:val="18"/>
          <w:szCs w:val="18"/>
        </w:rPr>
        <w:t>et al.</w:t>
      </w:r>
      <w:r w:rsidRPr="007746A1">
        <w:rPr>
          <w:noProof/>
          <w:sz w:val="18"/>
          <w:szCs w:val="18"/>
        </w:rPr>
        <w:t>, 2002)</w:t>
      </w:r>
      <w:r w:rsidRPr="007746A1">
        <w:rPr>
          <w:sz w:val="18"/>
          <w:szCs w:val="18"/>
        </w:rPr>
        <w:fldChar w:fldCharType="end"/>
      </w:r>
      <w:r w:rsidRPr="007746A1">
        <w:rPr>
          <w:sz w:val="18"/>
          <w:szCs w:val="18"/>
        </w:rPr>
        <w:t xml:space="preserve">; </w:t>
      </w:r>
      <w:r w:rsidRPr="007746A1">
        <w:rPr>
          <w:i/>
          <w:sz w:val="18"/>
          <w:szCs w:val="18"/>
        </w:rPr>
        <w:t>(c)</w:t>
      </w:r>
      <w:r w:rsidRPr="007746A1">
        <w:rPr>
          <w:sz w:val="18"/>
          <w:szCs w:val="18"/>
        </w:rPr>
        <w:t xml:space="preserve"> attention-deficit/hyperactivity symptoms using the DSM-IV symptom list for ADHD and the </w:t>
      </w:r>
      <w:proofErr w:type="spellStart"/>
      <w:r w:rsidRPr="007746A1">
        <w:rPr>
          <w:sz w:val="18"/>
          <w:szCs w:val="18"/>
        </w:rPr>
        <w:t>Conners</w:t>
      </w:r>
      <w:proofErr w:type="spellEnd"/>
      <w:r w:rsidRPr="007746A1">
        <w:rPr>
          <w:sz w:val="18"/>
          <w:szCs w:val="18"/>
        </w:rPr>
        <w:t xml:space="preserve">' Adult ADHD Rating Scale (CAARS) </w:t>
      </w:r>
      <w:r w:rsidRPr="007746A1">
        <w:rPr>
          <w:sz w:val="18"/>
          <w:szCs w:val="18"/>
        </w:rPr>
        <w:fldChar w:fldCharType="begin" w:fldLock="1"/>
      </w:r>
      <w:r w:rsidRPr="007746A1">
        <w:rPr>
          <w:sz w:val="18"/>
          <w:szCs w:val="18"/>
        </w:rPr>
        <w:instrText>ADDIN CSL_CITATION { "citationItems" : [ { "id" : "ITEM-1", "itemData" : { "author" : [ { "dropping-particle" : "", "family" : "Conners", "given" : "C Keith", "non-dropping-particle" : "", "parse-names" : false, "suffix" : "" }, { "dropping-particle" : "", "family" : "Erhardt", "given" : "Drew", "non-dropping-particle" : "", "parse-names" : false, "suffix" : "" }, { "dropping-particle" : "", "family" : "Sparrow", "given" : "Elizabeth", "non-dropping-particle" : "", "parse-names" : false, "suffix" : "" } ], "id" : "ITEM-1", "issued" : { "date-parts" : [ [ "1999" ] ] }, "publisher" : "Multi-Health Systems Incorporated (MHS)", "title" : "Conner's adult ADHD rating scales: Technical manual", "type" : "book" }, "uris" : [ "http://www.mendeley.com/documents/?uuid=8dad1bd5-cf85-4c00-a01f-5e1077a04271" ] } ], "mendeley" : { "formattedCitation" : "(Conners &lt;i&gt;et al.&lt;/i&gt;, 1999)", "plainTextFormattedCitation" : "(Conners et al., 1999)", "previouslyFormattedCitation" : "(Conners &lt;i&gt;et al.&lt;/i&gt;, 1999)" }, "properties" : {  }, "schema" : "https://github.com/citation-style-language/schema/raw/master/csl-citation.json" }</w:instrText>
      </w:r>
      <w:r w:rsidRPr="007746A1">
        <w:rPr>
          <w:sz w:val="18"/>
          <w:szCs w:val="18"/>
        </w:rPr>
        <w:fldChar w:fldCharType="separate"/>
      </w:r>
      <w:r w:rsidRPr="007746A1">
        <w:rPr>
          <w:noProof/>
          <w:sz w:val="18"/>
          <w:szCs w:val="18"/>
        </w:rPr>
        <w:t xml:space="preserve">(Conners </w:t>
      </w:r>
      <w:r w:rsidRPr="007746A1">
        <w:rPr>
          <w:i/>
          <w:noProof/>
          <w:sz w:val="18"/>
          <w:szCs w:val="18"/>
        </w:rPr>
        <w:t>et al.</w:t>
      </w:r>
      <w:r w:rsidRPr="007746A1">
        <w:rPr>
          <w:noProof/>
          <w:sz w:val="18"/>
          <w:szCs w:val="18"/>
        </w:rPr>
        <w:t>, 1999)</w:t>
      </w:r>
      <w:r w:rsidRPr="007746A1">
        <w:rPr>
          <w:sz w:val="18"/>
          <w:szCs w:val="18"/>
        </w:rPr>
        <w:fldChar w:fldCharType="end"/>
      </w:r>
      <w:r w:rsidRPr="007746A1">
        <w:rPr>
          <w:sz w:val="18"/>
          <w:szCs w:val="18"/>
        </w:rPr>
        <w:t xml:space="preserve">; </w:t>
      </w:r>
      <w:r w:rsidRPr="007746A1">
        <w:rPr>
          <w:i/>
          <w:sz w:val="18"/>
          <w:szCs w:val="18"/>
        </w:rPr>
        <w:t>(d)</w:t>
      </w:r>
      <w:r w:rsidRPr="007746A1">
        <w:rPr>
          <w:sz w:val="18"/>
          <w:szCs w:val="18"/>
        </w:rPr>
        <w:t xml:space="preserve"> depression using the Montgomery </w:t>
      </w:r>
      <w:proofErr w:type="spellStart"/>
      <w:r w:rsidRPr="007746A1">
        <w:rPr>
          <w:sz w:val="18"/>
          <w:szCs w:val="18"/>
        </w:rPr>
        <w:t>Asberg</w:t>
      </w:r>
      <w:proofErr w:type="spellEnd"/>
      <w:r w:rsidRPr="007746A1">
        <w:rPr>
          <w:sz w:val="18"/>
          <w:szCs w:val="18"/>
        </w:rPr>
        <w:t xml:space="preserve"> Depression Rating Scale (MADRS) </w:t>
      </w:r>
      <w:r w:rsidRPr="007746A1">
        <w:rPr>
          <w:sz w:val="18"/>
          <w:szCs w:val="18"/>
        </w:rPr>
        <w:fldChar w:fldCharType="begin" w:fldLock="1"/>
      </w:r>
      <w:r w:rsidRPr="007746A1">
        <w:rPr>
          <w:sz w:val="18"/>
          <w:szCs w:val="18"/>
        </w:rPr>
        <w:instrText>ADDIN CSL_CITATION { "citationItems" : [ { "id" : "ITEM-1", "itemData" : { "DOI" : "10.1192/bjp.134.4.382", "ISBN" : "0007-1250 (Print)", "ISSN" : "0007-1250", "PMID" : "444788", "abstract" : "The construction of a depression rating scale designed to be particularly sensitive to treatment effects is described. Ratings of 54 English and 52 Swedish patients on a 65 item comprehensive psychopathology scale were used to identify the 17 most commonly occurring symptoms in primary depressive illness in the combined sample. Ratings on these 17 items for 64 patients participating in studies of four different antidepressant drugs were used to create a depression scale consisting of the 10 items which showed the largest changes with treatment and the highest correlation to overall change. The inner-rater reliability of the new depression scale was high. Scores on the scale correlated significantly with scores on a standard rating scale for depression, the Hamilton Rating Scale (HRS), indicating its validity as a general severity estimate. Its capacity to differentiate between responders and non-responders to antidepressant treatment was better than the HRS, indicating greater sensitivity to change. The practical and ethical implications in terms of smaller sample sizes in clinical trials are discussed.", "author" : [ { "dropping-particle" : "", "family" : "Montgomery", "given" : "Stuart A", "non-dropping-particle" : "", "parse-names" : false, "suffix" : "" }, { "dropping-particle" : "", "family" : "Asberg", "given" : "Marie", "non-dropping-particle" : "", "parse-names" : false, "suffix" : "" } ], "container-title" : "The British journal of psychiatry: the journal of mental science", "id" : "ITEM-1", "issued" : { "date-parts" : [ [ "1979" ] ] }, "page" : "382-389", "title" : "A new depression scale designed to be sensitive to change.", "type" : "article-journal", "volume" : "134" }, "uris" : [ "http://www.mendeley.com/documents/?uuid=4dcb1688-c17e-45bf-994e-59378b5a421f" ] } ], "mendeley" : { "formattedCitation" : "(Montgomery and Asberg, 1979)", "plainTextFormattedCitation" : "(Montgomery and Asberg, 1979)", "previouslyFormattedCitation" : "(Montgomery and Asberg, 1979)" }, "properties" : {  }, "schema" : "https://github.com/citation-style-language/schema/raw/master/csl-citation.json" }</w:instrText>
      </w:r>
      <w:r w:rsidRPr="007746A1">
        <w:rPr>
          <w:sz w:val="18"/>
          <w:szCs w:val="18"/>
        </w:rPr>
        <w:fldChar w:fldCharType="separate"/>
      </w:r>
      <w:r w:rsidRPr="007746A1">
        <w:rPr>
          <w:noProof/>
          <w:sz w:val="18"/>
          <w:szCs w:val="18"/>
        </w:rPr>
        <w:t>(Montgomery and Asberg, 1979)</w:t>
      </w:r>
      <w:r w:rsidRPr="007746A1">
        <w:rPr>
          <w:sz w:val="18"/>
          <w:szCs w:val="18"/>
        </w:rPr>
        <w:fldChar w:fldCharType="end"/>
      </w:r>
      <w:r w:rsidRPr="007746A1">
        <w:rPr>
          <w:sz w:val="18"/>
          <w:szCs w:val="18"/>
        </w:rPr>
        <w:t xml:space="preserve"> and the Beck Depression Inventory II (BDI-II) </w:t>
      </w:r>
      <w:r w:rsidRPr="007746A1">
        <w:rPr>
          <w:sz w:val="18"/>
          <w:szCs w:val="18"/>
        </w:rPr>
        <w:fldChar w:fldCharType="begin" w:fldLock="1"/>
      </w:r>
      <w:r w:rsidRPr="007746A1">
        <w:rPr>
          <w:sz w:val="18"/>
          <w:szCs w:val="18"/>
        </w:rPr>
        <w:instrText>ADDIN CSL_CITATION { "citationItems" : [ { "id" : "ITEM-1", "itemData" : { "DOI" : "10.1093/ndt/gfr086", "ISBN" : "020517194X", "ISSN" : "14602385", "PMID" : "21441403", "abstract" : "Behavioral Situations Test. In M. Hersen &amp;amp; AS Bellack (Eds.), Dictionary of behavioral assessment techniques (pp. 69-72). New York: Pergamon. ...", "author" : [ { "dropping-particle" : "", "family" : "Beck", "given" : "Aaron T", "non-dropping-particle" : "", "parse-names" : false, "suffix" : "" } ], "container-title" : "Depression", "id" : "ITEM-1", "issued" : { "date-parts" : [ [ "1961" ] ] }, "page" : "2-4", "title" : "Beck Depression Inventory", "type" : "article-journal", "volume" : "2006" }, "uris" : [ "http://www.mendeley.com/documents/?uuid=1785bb85-e404-467f-b3cc-73e61398ff32" ] } ], "mendeley" : { "formattedCitation" : "(Beck, 1961)", "plainTextFormattedCitation" : "(Beck, 1961)", "previouslyFormattedCitation" : "(Beck, 1961)" }, "properties" : {  }, "schema" : "https://github.com/citation-style-language/schema/raw/master/csl-citation.json" }</w:instrText>
      </w:r>
      <w:r w:rsidRPr="007746A1">
        <w:rPr>
          <w:sz w:val="18"/>
          <w:szCs w:val="18"/>
        </w:rPr>
        <w:fldChar w:fldCharType="separate"/>
      </w:r>
      <w:r w:rsidRPr="007746A1">
        <w:rPr>
          <w:noProof/>
          <w:sz w:val="18"/>
          <w:szCs w:val="18"/>
        </w:rPr>
        <w:t>(Beck, 1961)</w:t>
      </w:r>
      <w:r w:rsidRPr="007746A1">
        <w:rPr>
          <w:sz w:val="18"/>
          <w:szCs w:val="18"/>
        </w:rPr>
        <w:fldChar w:fldCharType="end"/>
      </w:r>
      <w:r w:rsidRPr="007746A1">
        <w:rPr>
          <w:sz w:val="18"/>
          <w:szCs w:val="18"/>
        </w:rPr>
        <w:t xml:space="preserve">; and </w:t>
      </w:r>
      <w:r w:rsidRPr="007746A1">
        <w:rPr>
          <w:i/>
          <w:sz w:val="18"/>
          <w:szCs w:val="18"/>
        </w:rPr>
        <w:t>(e)</w:t>
      </w:r>
      <w:r w:rsidRPr="007746A1">
        <w:rPr>
          <w:sz w:val="18"/>
          <w:szCs w:val="18"/>
        </w:rPr>
        <w:t xml:space="preserve"> anxiety using the Beck Anxiety Inventory (BAI) </w:t>
      </w:r>
      <w:r w:rsidRPr="007746A1">
        <w:rPr>
          <w:sz w:val="18"/>
          <w:szCs w:val="18"/>
        </w:rPr>
        <w:fldChar w:fldCharType="begin" w:fldLock="1"/>
      </w:r>
      <w:r w:rsidRPr="007746A1">
        <w:rPr>
          <w:sz w:val="18"/>
          <w:szCs w:val="18"/>
        </w:rPr>
        <w:instrText>ADDIN CSL_CITATION { "citationItems" : [ { "id" : "ITEM-1", "itemData" : { "DOI" : "10.1037/0022-006X.56.6.893", "ISBN" : "0022-006X (Print)\\r0022-006X (Linking)", "ISSN" : "0022-006X", "PMID" : "3204199", "abstract" : "The development of a 21 -item self-report inventory for measuring the severity of anxiety in psychiat-ric populations is described. The initial item pool of 86 items was drawn from three preexisting scales: the Anxiety Checklist, the Physician's Desk Reference Checklist, and the Situational Anxiety Checklist. A series of analyses was used to reduce the item pool. The resulting Beck Anxiety Inven-tory (BAI) is a 21 -item scale that showed high internal consistency (at = .92) and test-retest reliability over 1 week, r(81) = .75. The BAI discriminated anxious diagnostic groups (panic disorder, general-ized anxiety disorder, etc.) from nonanxious diagnostic groups (major depression, dysthymic disor-der, etc). In addition, the BAI was moderately correlated with the revised Hamilton Anxiety Rating Scale, r(150) = .51, and was only mildly correlated with the revised Hamilton Depression Rating Scale, r(153) = .25.", "author" : [ { "dropping-particle" : "", "family" : "Beck", "given" : "Aaron T", "non-dropping-particle" : "", "parse-names" : false, "suffix" : "" }, { "dropping-particle" : "", "family" : "Brown", "given" : "Gary", "non-dropping-particle" : "", "parse-names" : false, "suffix" : "" }, { "dropping-particle" : "", "family" : "Epstein", "given" : "Norman", "non-dropping-particle" : "", "parse-names" : false, "suffix" : "" }, { "dropping-particle" : "", "family" : "Steer", "given" : "Robert A", "non-dropping-particle" : "", "parse-names" : false, "suffix" : "" } ], "container-title" : "Journal of Consulting and Clinical Psychology", "id" : "ITEM-1", "issue" : "6", "issued" : { "date-parts" : [ [ "1988" ] ] }, "page" : "893-897", "title" : "An Inventory for Measuring Clinical Anxiety: Psychometric Properties", "type" : "article-journal", "volume" : "56" }, "uris" : [ "http://www.mendeley.com/documents/?uuid=0ed45972-06f8-4cc3-996c-dc2e0ef872c3" ] } ], "mendeley" : { "formattedCitation" : "(Beck &lt;i&gt;et al.&lt;/i&gt;, 1988)", "plainTextFormattedCitation" : "(Beck et al., 1988)", "previouslyFormattedCitation" : "(Beck &lt;i&gt;et al.&lt;/i&gt;, 1988)" }, "properties" : {  }, "schema" : "https://github.com/citation-style-language/schema/raw/master/csl-citation.json" }</w:instrText>
      </w:r>
      <w:r w:rsidRPr="007746A1">
        <w:rPr>
          <w:sz w:val="18"/>
          <w:szCs w:val="18"/>
        </w:rPr>
        <w:fldChar w:fldCharType="separate"/>
      </w:r>
      <w:r w:rsidRPr="007746A1">
        <w:rPr>
          <w:noProof/>
          <w:sz w:val="18"/>
          <w:szCs w:val="18"/>
        </w:rPr>
        <w:t xml:space="preserve">(Beck </w:t>
      </w:r>
      <w:r w:rsidRPr="007746A1">
        <w:rPr>
          <w:i/>
          <w:noProof/>
          <w:sz w:val="18"/>
          <w:szCs w:val="18"/>
        </w:rPr>
        <w:t>et al.</w:t>
      </w:r>
      <w:r w:rsidRPr="007746A1">
        <w:rPr>
          <w:noProof/>
          <w:sz w:val="18"/>
          <w:szCs w:val="18"/>
        </w:rPr>
        <w:t>, 1988)</w:t>
      </w:r>
      <w:r w:rsidRPr="007746A1">
        <w:rPr>
          <w:sz w:val="18"/>
          <w:szCs w:val="18"/>
        </w:rPr>
        <w:fldChar w:fldCharType="end"/>
      </w:r>
      <w:r w:rsidRPr="007746A1">
        <w:rPr>
          <w:sz w:val="18"/>
          <w:szCs w:val="18"/>
        </w:rPr>
        <w:t>.</w:t>
      </w:r>
      <w:r w:rsidRPr="00F279C1">
        <w:rPr>
          <w:sz w:val="18"/>
          <w:szCs w:val="18"/>
        </w:rPr>
        <w:t xml:space="preserve"> </w:t>
      </w:r>
      <w:r w:rsidR="00AD7A2E">
        <w:rPr>
          <w:sz w:val="18"/>
          <w:szCs w:val="18"/>
        </w:rPr>
        <w:t>Whenever possible, a</w:t>
      </w:r>
      <w:r w:rsidR="00F279C1" w:rsidRPr="007746A1">
        <w:rPr>
          <w:sz w:val="18"/>
          <w:szCs w:val="18"/>
        </w:rPr>
        <w:t xml:space="preserve"> 10ml blood sample was collected from the subjects (</w:t>
      </w:r>
      <w:r w:rsidR="00F279C1" w:rsidRPr="007746A1">
        <w:rPr>
          <w:i/>
          <w:sz w:val="18"/>
          <w:szCs w:val="18"/>
        </w:rPr>
        <w:t>N</w:t>
      </w:r>
      <w:r w:rsidR="00F279C1" w:rsidRPr="007746A1">
        <w:rPr>
          <w:sz w:val="18"/>
          <w:szCs w:val="18"/>
        </w:rPr>
        <w:t>=37</w:t>
      </w:r>
      <w:r w:rsidR="00AD7A2E">
        <w:rPr>
          <w:sz w:val="18"/>
          <w:szCs w:val="18"/>
        </w:rPr>
        <w:t xml:space="preserve"> GTS focused sample, N=100 independent sample</w:t>
      </w:r>
      <w:r w:rsidR="00F279C1" w:rsidRPr="007746A1">
        <w:rPr>
          <w:sz w:val="18"/>
          <w:szCs w:val="18"/>
        </w:rPr>
        <w:t xml:space="preserve">) for </w:t>
      </w:r>
      <w:r w:rsidR="00AD7A2E">
        <w:rPr>
          <w:sz w:val="18"/>
          <w:szCs w:val="18"/>
        </w:rPr>
        <w:t xml:space="preserve">the </w:t>
      </w:r>
      <w:r w:rsidR="00F279C1" w:rsidRPr="007746A1">
        <w:rPr>
          <w:sz w:val="18"/>
          <w:szCs w:val="18"/>
        </w:rPr>
        <w:t xml:space="preserve">quantitative determination of serum ferritin (Supplementary Information). </w:t>
      </w:r>
    </w:p>
    <w:p w14:paraId="2604C940" w14:textId="68DA9F24" w:rsidR="00F279C1" w:rsidRDefault="00F279C1" w:rsidP="00B1233F">
      <w:pPr>
        <w:autoSpaceDE w:val="0"/>
        <w:autoSpaceDN w:val="0"/>
        <w:adjustRightInd w:val="0"/>
        <w:jc w:val="both"/>
        <w:rPr>
          <w:sz w:val="18"/>
          <w:szCs w:val="18"/>
        </w:rPr>
      </w:pPr>
    </w:p>
    <w:p w14:paraId="3C576964" w14:textId="404E0C73" w:rsidR="00F83906" w:rsidRPr="00B0025A" w:rsidRDefault="00F83906" w:rsidP="00F83906">
      <w:pPr>
        <w:autoSpaceDE w:val="0"/>
        <w:autoSpaceDN w:val="0"/>
        <w:adjustRightInd w:val="0"/>
        <w:jc w:val="both"/>
        <w:rPr>
          <w:sz w:val="18"/>
          <w:szCs w:val="18"/>
        </w:rPr>
      </w:pPr>
      <w:r>
        <w:rPr>
          <w:sz w:val="18"/>
          <w:szCs w:val="18"/>
        </w:rPr>
        <w:t>As s</w:t>
      </w:r>
      <w:r w:rsidRPr="00B0025A">
        <w:rPr>
          <w:sz w:val="18"/>
          <w:szCs w:val="18"/>
        </w:rPr>
        <w:t>usceptibility data tended to exhibit non-parametric distributions</w:t>
      </w:r>
      <w:r>
        <w:rPr>
          <w:sz w:val="18"/>
          <w:szCs w:val="18"/>
        </w:rPr>
        <w:t xml:space="preserve"> (</w:t>
      </w:r>
      <w:r w:rsidRPr="00B0025A">
        <w:rPr>
          <w:sz w:val="18"/>
          <w:szCs w:val="18"/>
        </w:rPr>
        <w:t>Kolmogorov-Smirnov</w:t>
      </w:r>
      <w:r>
        <w:rPr>
          <w:sz w:val="18"/>
          <w:szCs w:val="18"/>
        </w:rPr>
        <w:t xml:space="preserve"> test)</w:t>
      </w:r>
      <w:r w:rsidRPr="00B0025A">
        <w:rPr>
          <w:sz w:val="18"/>
          <w:szCs w:val="18"/>
        </w:rPr>
        <w:t xml:space="preserve">, group differences of median </w:t>
      </w:r>
      <w:proofErr w:type="spellStart"/>
      <w:r w:rsidRPr="00B0025A">
        <w:rPr>
          <w:bCs/>
          <w:sz w:val="18"/>
          <w:szCs w:val="18"/>
        </w:rPr>
        <w:t>Δχ</w:t>
      </w:r>
      <w:proofErr w:type="spellEnd"/>
      <w:r w:rsidRPr="00B0025A" w:rsidDel="001864B8">
        <w:rPr>
          <w:sz w:val="18"/>
          <w:szCs w:val="18"/>
        </w:rPr>
        <w:t xml:space="preserve"> </w:t>
      </w:r>
      <w:r w:rsidRPr="00B0025A">
        <w:rPr>
          <w:sz w:val="18"/>
          <w:szCs w:val="18"/>
        </w:rPr>
        <w:t>values for each region of interest (ROI) were assessed using Mann-Whitney-Wilcoxon rank sum tests</w:t>
      </w:r>
      <w:r>
        <w:rPr>
          <w:sz w:val="18"/>
          <w:szCs w:val="18"/>
        </w:rPr>
        <w:t xml:space="preserve"> and corrected using </w:t>
      </w:r>
      <w:proofErr w:type="spellStart"/>
      <w:r>
        <w:rPr>
          <w:sz w:val="18"/>
          <w:szCs w:val="18"/>
        </w:rPr>
        <w:t>fasle</w:t>
      </w:r>
      <w:proofErr w:type="spellEnd"/>
      <w:r>
        <w:rPr>
          <w:sz w:val="18"/>
          <w:szCs w:val="18"/>
        </w:rPr>
        <w:t xml:space="preserve"> discovery rate (FDR)</w:t>
      </w:r>
      <w:r w:rsidRPr="00B0025A">
        <w:rPr>
          <w:sz w:val="18"/>
          <w:szCs w:val="18"/>
        </w:rPr>
        <w:t xml:space="preserve">. Group differences in serum ferritin values were assessed using </w:t>
      </w:r>
      <w:proofErr w:type="spellStart"/>
      <w:r w:rsidRPr="00B0025A">
        <w:rPr>
          <w:sz w:val="18"/>
          <w:szCs w:val="18"/>
        </w:rPr>
        <w:t>Welche’s</w:t>
      </w:r>
      <w:proofErr w:type="spellEnd"/>
      <w:r w:rsidRPr="00B0025A">
        <w:rPr>
          <w:sz w:val="18"/>
          <w:szCs w:val="18"/>
        </w:rPr>
        <w:t xml:space="preserve"> test given the inhomogeneous variance</w:t>
      </w:r>
      <w:r>
        <w:rPr>
          <w:sz w:val="18"/>
          <w:szCs w:val="18"/>
        </w:rPr>
        <w:t xml:space="preserve"> (Leven’s test). </w:t>
      </w:r>
      <w:r w:rsidRPr="00B0025A">
        <w:rPr>
          <w:sz w:val="18"/>
          <w:szCs w:val="18"/>
        </w:rPr>
        <w:t xml:space="preserve">Given the dimensionality and complementarity of the clinical data, we decomposed them into a set of low-dimensional scores using principal component analysis (PCA) to examine relationships with surrogate iron measures. The correlation matrix between all clinical variables revealed sufficient </w:t>
      </w:r>
      <w:r w:rsidR="00AD7A2E">
        <w:rPr>
          <w:sz w:val="18"/>
          <w:szCs w:val="18"/>
        </w:rPr>
        <w:t>complementarity</w:t>
      </w:r>
      <w:r w:rsidRPr="00B0025A">
        <w:rPr>
          <w:sz w:val="18"/>
          <w:szCs w:val="18"/>
        </w:rPr>
        <w:t xml:space="preserve"> for data reduction</w:t>
      </w:r>
      <w:r w:rsidR="00AD7A2E">
        <w:rPr>
          <w:sz w:val="18"/>
          <w:szCs w:val="18"/>
        </w:rPr>
        <w:t xml:space="preserve"> and multi-collinearity was alleviated by implementing an</w:t>
      </w:r>
      <w:r w:rsidRPr="00B0025A">
        <w:rPr>
          <w:sz w:val="18"/>
          <w:szCs w:val="18"/>
        </w:rPr>
        <w:t xml:space="preserve"> orthogonal Varimax rotation. A multiple linear-regression model accounting for age, gender and </w:t>
      </w:r>
      <w:r w:rsidRPr="00B0025A">
        <w:rPr>
          <w:sz w:val="18"/>
          <w:szCs w:val="18"/>
        </w:rPr>
        <w:lastRenderedPageBreak/>
        <w:t xml:space="preserve">two indices of </w:t>
      </w:r>
      <w:r>
        <w:rPr>
          <w:sz w:val="18"/>
          <w:szCs w:val="18"/>
        </w:rPr>
        <w:t xml:space="preserve">spatial </w:t>
      </w:r>
      <w:r w:rsidRPr="00B0025A">
        <w:rPr>
          <w:sz w:val="18"/>
          <w:szCs w:val="18"/>
        </w:rPr>
        <w:t>image quality was used to inspect correlations between iron measures and behavioral principal components (PCs). The variance inflation factor was used to assess multi-collinearity between predictor variables.</w:t>
      </w:r>
    </w:p>
    <w:p w14:paraId="6314A3EC" w14:textId="77777777" w:rsidR="00F83906" w:rsidRDefault="00F83906" w:rsidP="00B1233F">
      <w:pPr>
        <w:autoSpaceDE w:val="0"/>
        <w:autoSpaceDN w:val="0"/>
        <w:adjustRightInd w:val="0"/>
        <w:jc w:val="both"/>
        <w:rPr>
          <w:sz w:val="18"/>
          <w:szCs w:val="18"/>
        </w:rPr>
      </w:pPr>
    </w:p>
    <w:p w14:paraId="53DC970E" w14:textId="3595F155" w:rsidR="00BA19A2" w:rsidRDefault="00BA19A2" w:rsidP="00BA19A2">
      <w:pPr>
        <w:widowControl w:val="0"/>
        <w:autoSpaceDE w:val="0"/>
        <w:autoSpaceDN w:val="0"/>
        <w:adjustRightInd w:val="0"/>
        <w:jc w:val="both"/>
        <w:rPr>
          <w:color w:val="000000"/>
          <w:sz w:val="18"/>
          <w:szCs w:val="18"/>
        </w:rPr>
      </w:pPr>
    </w:p>
    <w:p w14:paraId="5458285D" w14:textId="4E04B9C4" w:rsidR="004A6D51" w:rsidRDefault="00EF62C5" w:rsidP="001B60DB">
      <w:pPr>
        <w:widowControl w:val="0"/>
        <w:tabs>
          <w:tab w:val="left" w:pos="2461"/>
        </w:tabs>
        <w:autoSpaceDE w:val="0"/>
        <w:autoSpaceDN w:val="0"/>
        <w:adjustRightInd w:val="0"/>
        <w:jc w:val="both"/>
        <w:rPr>
          <w:b/>
          <w:bCs/>
          <w:color w:val="000000"/>
          <w:sz w:val="18"/>
          <w:szCs w:val="18"/>
        </w:rPr>
      </w:pPr>
      <w:r>
        <w:rPr>
          <w:b/>
          <w:bCs/>
          <w:color w:val="000000"/>
          <w:sz w:val="18"/>
          <w:szCs w:val="18"/>
        </w:rPr>
        <w:t>Genomics</w:t>
      </w:r>
      <w:r w:rsidR="00433603" w:rsidRPr="00433603">
        <w:rPr>
          <w:b/>
          <w:bCs/>
          <w:color w:val="000000"/>
          <w:sz w:val="18"/>
          <w:szCs w:val="18"/>
        </w:rPr>
        <w:t xml:space="preserve"> </w:t>
      </w:r>
      <w:r w:rsidR="001B60DB">
        <w:rPr>
          <w:b/>
          <w:bCs/>
          <w:color w:val="000000"/>
          <w:sz w:val="18"/>
          <w:szCs w:val="18"/>
        </w:rPr>
        <w:tab/>
      </w:r>
    </w:p>
    <w:p w14:paraId="3733BD74" w14:textId="4285B164" w:rsidR="00FE5F32" w:rsidRDefault="00CC46B6" w:rsidP="001B60DB">
      <w:pPr>
        <w:widowControl w:val="0"/>
        <w:tabs>
          <w:tab w:val="left" w:pos="2461"/>
        </w:tabs>
        <w:autoSpaceDE w:val="0"/>
        <w:autoSpaceDN w:val="0"/>
        <w:adjustRightInd w:val="0"/>
        <w:jc w:val="both"/>
        <w:rPr>
          <w:color w:val="000000"/>
          <w:sz w:val="18"/>
          <w:szCs w:val="18"/>
        </w:rPr>
      </w:pPr>
      <w:r>
        <w:rPr>
          <w:color w:val="000000"/>
          <w:sz w:val="18"/>
          <w:szCs w:val="18"/>
        </w:rPr>
        <w:t>As recent</w:t>
      </w:r>
      <w:r w:rsidR="00C026AC">
        <w:rPr>
          <w:color w:val="000000"/>
          <w:sz w:val="18"/>
          <w:szCs w:val="18"/>
        </w:rPr>
        <w:t xml:space="preserve"> GWAS studies </w:t>
      </w:r>
      <w:r w:rsidR="008F1CE3">
        <w:rPr>
          <w:color w:val="000000"/>
          <w:sz w:val="18"/>
          <w:szCs w:val="18"/>
        </w:rPr>
        <w:t xml:space="preserve">implementing novel heritability estimation methods </w:t>
      </w:r>
      <w:r w:rsidR="00C026AC">
        <w:rPr>
          <w:color w:val="000000"/>
          <w:sz w:val="18"/>
          <w:szCs w:val="18"/>
        </w:rPr>
        <w:t>have demonstrate</w:t>
      </w:r>
      <w:r w:rsidR="00F31BF3">
        <w:rPr>
          <w:color w:val="000000"/>
          <w:sz w:val="18"/>
          <w:szCs w:val="18"/>
        </w:rPr>
        <w:t>d</w:t>
      </w:r>
      <w:r w:rsidR="00C026AC">
        <w:rPr>
          <w:color w:val="000000"/>
          <w:sz w:val="18"/>
          <w:szCs w:val="18"/>
        </w:rPr>
        <w:t xml:space="preserve"> that individual common risk</w:t>
      </w:r>
      <w:r w:rsidR="008F1CE3">
        <w:rPr>
          <w:color w:val="000000"/>
          <w:sz w:val="18"/>
          <w:szCs w:val="18"/>
        </w:rPr>
        <w:t xml:space="preserve"> </w:t>
      </w:r>
      <w:r w:rsidR="00C026AC">
        <w:rPr>
          <w:color w:val="000000"/>
          <w:sz w:val="18"/>
          <w:szCs w:val="18"/>
        </w:rPr>
        <w:t xml:space="preserve">variants </w:t>
      </w:r>
      <w:r>
        <w:rPr>
          <w:color w:val="000000"/>
          <w:sz w:val="18"/>
          <w:szCs w:val="18"/>
        </w:rPr>
        <w:t>exhibit</w:t>
      </w:r>
      <w:r w:rsidR="00C026AC">
        <w:rPr>
          <w:color w:val="000000"/>
          <w:sz w:val="18"/>
          <w:szCs w:val="18"/>
        </w:rPr>
        <w:t xml:space="preserve"> overlap</w:t>
      </w:r>
      <w:r>
        <w:rPr>
          <w:color w:val="000000"/>
          <w:sz w:val="18"/>
          <w:szCs w:val="18"/>
        </w:rPr>
        <w:t>s</w:t>
      </w:r>
      <w:r w:rsidR="00C026AC">
        <w:rPr>
          <w:color w:val="000000"/>
          <w:sz w:val="18"/>
          <w:szCs w:val="18"/>
        </w:rPr>
        <w:t xml:space="preserve"> across boundaries </w:t>
      </w:r>
      <w:r w:rsidR="00FE5F32">
        <w:rPr>
          <w:color w:val="000000"/>
          <w:sz w:val="18"/>
          <w:szCs w:val="18"/>
        </w:rPr>
        <w:t xml:space="preserve">of </w:t>
      </w:r>
      <w:r w:rsidR="00D34093">
        <w:rPr>
          <w:color w:val="000000"/>
          <w:sz w:val="18"/>
          <w:szCs w:val="18"/>
        </w:rPr>
        <w:t xml:space="preserve">neuropsychiatric disorders </w:t>
      </w:r>
      <w:r w:rsidR="00C026AC">
        <w:rPr>
          <w:color w:val="000000"/>
          <w:sz w:val="18"/>
          <w:szCs w:val="18"/>
        </w:rPr>
        <w:t xml:space="preserve">and </w:t>
      </w:r>
      <w:r w:rsidR="00FE5F32">
        <w:rPr>
          <w:color w:val="000000"/>
          <w:sz w:val="18"/>
          <w:szCs w:val="18"/>
        </w:rPr>
        <w:t xml:space="preserve">cognitive-behavioral </w:t>
      </w:r>
      <w:r w:rsidR="00C026AC">
        <w:rPr>
          <w:color w:val="000000"/>
          <w:sz w:val="18"/>
          <w:szCs w:val="18"/>
        </w:rPr>
        <w:t>phenotypes</w:t>
      </w:r>
      <w:r w:rsidR="008F1CE3">
        <w:rPr>
          <w:color w:val="000000"/>
          <w:sz w:val="18"/>
          <w:szCs w:val="18"/>
        </w:rPr>
        <w:t xml:space="preserve">, we </w:t>
      </w:r>
      <w:r w:rsidR="00D34093">
        <w:rPr>
          <w:color w:val="000000"/>
          <w:sz w:val="18"/>
          <w:szCs w:val="18"/>
        </w:rPr>
        <w:t>assess</w:t>
      </w:r>
      <w:r w:rsidR="00203F0F">
        <w:rPr>
          <w:color w:val="000000"/>
          <w:sz w:val="18"/>
          <w:szCs w:val="18"/>
        </w:rPr>
        <w:t>ed</w:t>
      </w:r>
      <w:r w:rsidR="00D34093">
        <w:rPr>
          <w:color w:val="000000"/>
          <w:sz w:val="18"/>
          <w:szCs w:val="18"/>
        </w:rPr>
        <w:t xml:space="preserve"> the heritability between GTS and iron-related traits</w:t>
      </w:r>
      <w:r w:rsidR="00FE5F32">
        <w:rPr>
          <w:color w:val="000000"/>
          <w:sz w:val="18"/>
          <w:szCs w:val="18"/>
        </w:rPr>
        <w:t xml:space="preserve"> using similar </w:t>
      </w:r>
      <w:r w:rsidR="00FF006B">
        <w:rPr>
          <w:color w:val="000000"/>
          <w:sz w:val="18"/>
          <w:szCs w:val="18"/>
        </w:rPr>
        <w:t>techniques</w:t>
      </w:r>
      <w:r w:rsidR="00336C9C">
        <w:rPr>
          <w:color w:val="000000"/>
          <w:sz w:val="18"/>
          <w:szCs w:val="18"/>
        </w:rPr>
        <w:t xml:space="preserve"> (</w:t>
      </w:r>
      <w:proofErr w:type="spellStart"/>
      <w:r w:rsidR="00336C9C">
        <w:rPr>
          <w:color w:val="000000"/>
          <w:sz w:val="18"/>
          <w:szCs w:val="18"/>
        </w:rPr>
        <w:t>Antilla</w:t>
      </w:r>
      <w:proofErr w:type="spellEnd"/>
      <w:r w:rsidR="00336C9C">
        <w:rPr>
          <w:color w:val="000000"/>
          <w:sz w:val="18"/>
          <w:szCs w:val="18"/>
        </w:rPr>
        <w:t>, Science, 2019)</w:t>
      </w:r>
      <w:r w:rsidR="00D34093">
        <w:rPr>
          <w:color w:val="000000"/>
          <w:sz w:val="18"/>
          <w:szCs w:val="18"/>
        </w:rPr>
        <w:t xml:space="preserve">. Specifically, we </w:t>
      </w:r>
      <w:r w:rsidR="008F1CE3">
        <w:rPr>
          <w:color w:val="000000"/>
          <w:sz w:val="18"/>
          <w:szCs w:val="18"/>
        </w:rPr>
        <w:t>implemented l</w:t>
      </w:r>
      <w:r w:rsidR="00C026AC">
        <w:rPr>
          <w:color w:val="000000"/>
          <w:sz w:val="18"/>
          <w:szCs w:val="18"/>
        </w:rPr>
        <w:t xml:space="preserve">inkage disequilibrium score </w:t>
      </w:r>
      <w:r w:rsidR="00F31BF3">
        <w:rPr>
          <w:color w:val="000000"/>
          <w:sz w:val="18"/>
          <w:szCs w:val="18"/>
        </w:rPr>
        <w:t>(LDSC)</w:t>
      </w:r>
      <w:r>
        <w:rPr>
          <w:color w:val="000000"/>
          <w:sz w:val="18"/>
          <w:szCs w:val="18"/>
        </w:rPr>
        <w:t xml:space="preserve"> </w:t>
      </w:r>
      <w:r w:rsidR="00FE5F32">
        <w:rPr>
          <w:color w:val="000000"/>
          <w:sz w:val="18"/>
          <w:szCs w:val="18"/>
        </w:rPr>
        <w:t xml:space="preserve">regression </w:t>
      </w:r>
      <w:r w:rsidR="00C026AC">
        <w:rPr>
          <w:color w:val="000000"/>
          <w:sz w:val="18"/>
          <w:szCs w:val="18"/>
        </w:rPr>
        <w:t xml:space="preserve">to calculate </w:t>
      </w:r>
      <w:r w:rsidR="008F1CE3">
        <w:rPr>
          <w:color w:val="000000"/>
          <w:sz w:val="18"/>
          <w:szCs w:val="18"/>
        </w:rPr>
        <w:t xml:space="preserve">heritability estimates </w:t>
      </w:r>
      <w:r w:rsidR="00C026AC">
        <w:rPr>
          <w:color w:val="000000"/>
          <w:sz w:val="18"/>
          <w:szCs w:val="18"/>
        </w:rPr>
        <w:t>and correlations</w:t>
      </w:r>
      <w:r w:rsidR="00203F0F">
        <w:rPr>
          <w:color w:val="000000"/>
          <w:sz w:val="18"/>
          <w:szCs w:val="18"/>
        </w:rPr>
        <w:t>, while</w:t>
      </w:r>
      <w:r w:rsidR="00FE5F32">
        <w:rPr>
          <w:color w:val="000000"/>
          <w:sz w:val="18"/>
          <w:szCs w:val="18"/>
        </w:rPr>
        <w:t xml:space="preserve"> </w:t>
      </w:r>
      <w:r w:rsidR="00F31BF3">
        <w:rPr>
          <w:color w:val="000000"/>
          <w:sz w:val="18"/>
          <w:szCs w:val="18"/>
        </w:rPr>
        <w:t>assess</w:t>
      </w:r>
      <w:r w:rsidR="00D34093">
        <w:rPr>
          <w:color w:val="000000"/>
          <w:sz w:val="18"/>
          <w:szCs w:val="18"/>
        </w:rPr>
        <w:t>ing</w:t>
      </w:r>
      <w:r w:rsidR="00F31BF3">
        <w:rPr>
          <w:color w:val="000000"/>
          <w:sz w:val="18"/>
          <w:szCs w:val="18"/>
        </w:rPr>
        <w:t xml:space="preserve"> statistical significance </w:t>
      </w:r>
      <w:r w:rsidR="00D34093">
        <w:rPr>
          <w:color w:val="000000"/>
          <w:sz w:val="18"/>
          <w:szCs w:val="18"/>
        </w:rPr>
        <w:t>from block jackknife-based standard errors</w:t>
      </w:r>
      <w:r w:rsidR="00336C9C">
        <w:rPr>
          <w:color w:val="000000"/>
          <w:sz w:val="18"/>
          <w:szCs w:val="18"/>
        </w:rPr>
        <w:t xml:space="preserve"> </w:t>
      </w:r>
      <w:r w:rsidR="00336C9C" w:rsidRPr="00083D3B">
        <w:rPr>
          <w:sz w:val="18"/>
          <w:szCs w:val="18"/>
        </w:rPr>
        <w:t>(</w:t>
      </w:r>
      <w:proofErr w:type="spellStart"/>
      <w:r w:rsidR="00336C9C" w:rsidRPr="00083D3B">
        <w:rPr>
          <w:sz w:val="18"/>
          <w:szCs w:val="18"/>
        </w:rPr>
        <w:t>Bulik</w:t>
      </w:r>
      <w:proofErr w:type="spellEnd"/>
      <w:r w:rsidR="00336C9C" w:rsidRPr="00083D3B">
        <w:rPr>
          <w:sz w:val="18"/>
          <w:szCs w:val="18"/>
        </w:rPr>
        <w:t>-Sullivan et al., 2015)</w:t>
      </w:r>
      <w:r w:rsidR="00D34093">
        <w:rPr>
          <w:color w:val="000000"/>
          <w:sz w:val="18"/>
          <w:szCs w:val="18"/>
        </w:rPr>
        <w:t xml:space="preserve">. LDSC regression utilizes summary statistics of GWAS data from two traits to estimate (a) common variant heritability, defined as the proportion of phenotypic variance in the population that could </w:t>
      </w:r>
      <w:r w:rsidR="00FE5F32">
        <w:rPr>
          <w:color w:val="000000"/>
          <w:sz w:val="18"/>
          <w:szCs w:val="18"/>
        </w:rPr>
        <w:t>theoretically</w:t>
      </w:r>
      <w:r w:rsidR="00D34093">
        <w:rPr>
          <w:color w:val="000000"/>
          <w:sz w:val="18"/>
          <w:szCs w:val="18"/>
        </w:rPr>
        <w:t xml:space="preserve"> </w:t>
      </w:r>
      <w:r w:rsidR="00FE5F32">
        <w:rPr>
          <w:color w:val="000000"/>
          <w:sz w:val="18"/>
          <w:szCs w:val="18"/>
        </w:rPr>
        <w:t xml:space="preserve">be </w:t>
      </w:r>
      <w:r w:rsidR="00D34093">
        <w:rPr>
          <w:color w:val="000000"/>
          <w:sz w:val="18"/>
          <w:szCs w:val="18"/>
        </w:rPr>
        <w:t xml:space="preserve">explained by an optimal linear predictor formed using the additive effects of all common autosomal single-nucleotide polymorphisms </w:t>
      </w:r>
      <w:r w:rsidR="00E025D8">
        <w:rPr>
          <w:color w:val="000000"/>
          <w:sz w:val="18"/>
          <w:szCs w:val="18"/>
        </w:rPr>
        <w:t>(SNPs); and (b) the genetic correlation, defined as the correlation between the traits optimal genetic predictors</w:t>
      </w:r>
      <w:r w:rsidR="00AE7EB5">
        <w:rPr>
          <w:color w:val="000000"/>
          <w:sz w:val="18"/>
          <w:szCs w:val="18"/>
        </w:rPr>
        <w:t xml:space="preserve"> (</w:t>
      </w:r>
      <w:proofErr w:type="spellStart"/>
      <w:r w:rsidR="00AE7EB5">
        <w:rPr>
          <w:color w:val="000000"/>
          <w:sz w:val="18"/>
          <w:szCs w:val="18"/>
        </w:rPr>
        <w:t>Antilla</w:t>
      </w:r>
      <w:proofErr w:type="spellEnd"/>
      <w:r w:rsidR="00AE7EB5">
        <w:rPr>
          <w:color w:val="000000"/>
          <w:sz w:val="18"/>
          <w:szCs w:val="18"/>
        </w:rPr>
        <w:t>, Science, 2019)</w:t>
      </w:r>
      <w:r w:rsidR="00E025D8">
        <w:rPr>
          <w:color w:val="000000"/>
          <w:sz w:val="18"/>
          <w:szCs w:val="18"/>
        </w:rPr>
        <w:t xml:space="preserve">. GTS summary statistics were derived from the most recent GWAS including N=4918 European ancestry patients and N= 9488 population-matched controls (Yu, et al., 2019). </w:t>
      </w:r>
      <w:r w:rsidR="00FE5F32">
        <w:rPr>
          <w:color w:val="000000"/>
          <w:sz w:val="18"/>
          <w:szCs w:val="18"/>
        </w:rPr>
        <w:t>GWAS summary statistics of the two iron-related traits, ferritin and transferrin, were</w:t>
      </w:r>
      <w:r w:rsidR="00AE7EB5">
        <w:rPr>
          <w:color w:val="000000"/>
          <w:sz w:val="18"/>
          <w:szCs w:val="18"/>
        </w:rPr>
        <w:t xml:space="preserve"> </w:t>
      </w:r>
      <w:r w:rsidR="00FE5F32">
        <w:rPr>
          <w:color w:val="000000"/>
          <w:sz w:val="18"/>
          <w:szCs w:val="18"/>
        </w:rPr>
        <w:t xml:space="preserve">derived from a study performed on N=23,986 European ancestry samples collected by the Genetics of Iron status </w:t>
      </w:r>
      <w:r w:rsidR="00AE7EB5">
        <w:rPr>
          <w:color w:val="000000"/>
          <w:sz w:val="18"/>
          <w:szCs w:val="18"/>
        </w:rPr>
        <w:t>Consortium</w:t>
      </w:r>
      <w:r w:rsidR="00FE5F32">
        <w:rPr>
          <w:color w:val="000000"/>
          <w:sz w:val="18"/>
          <w:szCs w:val="18"/>
        </w:rPr>
        <w:t xml:space="preserve"> </w:t>
      </w:r>
      <w:r w:rsidR="00AE7EB5" w:rsidRPr="00083D3B">
        <w:rPr>
          <w:sz w:val="18"/>
          <w:szCs w:val="18"/>
        </w:rPr>
        <w:t>(Benyamin, et al., 2014)</w:t>
      </w:r>
      <w:r w:rsidR="00AE7EB5">
        <w:rPr>
          <w:color w:val="000000"/>
          <w:sz w:val="18"/>
          <w:szCs w:val="18"/>
        </w:rPr>
        <w:t xml:space="preserve">. Evaluations were conducted on </w:t>
      </w:r>
      <w:proofErr w:type="spellStart"/>
      <w:r w:rsidR="00AE7EB5">
        <w:rPr>
          <w:color w:val="000000"/>
          <w:sz w:val="18"/>
          <w:szCs w:val="18"/>
        </w:rPr>
        <w:t>LDHub</w:t>
      </w:r>
      <w:proofErr w:type="spellEnd"/>
      <w:r w:rsidR="00AE7EB5">
        <w:rPr>
          <w:color w:val="000000"/>
          <w:sz w:val="18"/>
          <w:szCs w:val="18"/>
        </w:rPr>
        <w:t xml:space="preserve">, a web interface for LD score regression analysis and Bonferroni correction </w:t>
      </w:r>
      <w:proofErr w:type="gramStart"/>
      <w:r w:rsidR="00AE7EB5">
        <w:rPr>
          <w:color w:val="000000"/>
          <w:sz w:val="18"/>
          <w:szCs w:val="18"/>
        </w:rPr>
        <w:t>was</w:t>
      </w:r>
      <w:proofErr w:type="gramEnd"/>
      <w:r w:rsidR="00AE7EB5">
        <w:rPr>
          <w:color w:val="000000"/>
          <w:sz w:val="18"/>
          <w:szCs w:val="18"/>
        </w:rPr>
        <w:t xml:space="preserve"> applied for multiple testing </w:t>
      </w:r>
      <w:r w:rsidR="00AE7EB5" w:rsidRPr="00083D3B">
        <w:rPr>
          <w:sz w:val="18"/>
          <w:szCs w:val="18"/>
        </w:rPr>
        <w:t>(Zheng, et al., 2017)</w:t>
      </w:r>
      <w:r w:rsidR="00AE7EB5">
        <w:rPr>
          <w:color w:val="000000"/>
          <w:sz w:val="18"/>
          <w:szCs w:val="18"/>
        </w:rPr>
        <w:t xml:space="preserve">. </w:t>
      </w:r>
    </w:p>
    <w:p w14:paraId="7D8F162B" w14:textId="77777777" w:rsidR="00D34093" w:rsidRDefault="00D34093" w:rsidP="001B60DB">
      <w:pPr>
        <w:widowControl w:val="0"/>
        <w:tabs>
          <w:tab w:val="left" w:pos="2461"/>
        </w:tabs>
        <w:autoSpaceDE w:val="0"/>
        <w:autoSpaceDN w:val="0"/>
        <w:adjustRightInd w:val="0"/>
        <w:jc w:val="both"/>
        <w:rPr>
          <w:color w:val="000000"/>
          <w:sz w:val="18"/>
          <w:szCs w:val="18"/>
        </w:rPr>
      </w:pPr>
    </w:p>
    <w:p w14:paraId="6B9D75FC" w14:textId="2E59D6F9" w:rsidR="00E374DD" w:rsidRDefault="00E374DD" w:rsidP="00534A89">
      <w:pPr>
        <w:jc w:val="both"/>
        <w:rPr>
          <w:color w:val="FF0000"/>
          <w:sz w:val="18"/>
          <w:szCs w:val="18"/>
        </w:rPr>
      </w:pPr>
    </w:p>
    <w:p w14:paraId="776EC039" w14:textId="77777777" w:rsidR="00AE513B" w:rsidRDefault="00387D74" w:rsidP="00387D74">
      <w:pPr>
        <w:jc w:val="both"/>
        <w:rPr>
          <w:b/>
          <w:bCs/>
          <w:sz w:val="18"/>
          <w:szCs w:val="18"/>
        </w:rPr>
      </w:pPr>
      <w:r w:rsidRPr="00BC1DDC">
        <w:rPr>
          <w:b/>
          <w:bCs/>
          <w:sz w:val="18"/>
          <w:szCs w:val="18"/>
        </w:rPr>
        <w:t xml:space="preserve">Transcriptomics </w:t>
      </w:r>
    </w:p>
    <w:p w14:paraId="7A555794" w14:textId="0EDD7D94" w:rsidR="00AE513B" w:rsidRDefault="00095D88" w:rsidP="00AE513B">
      <w:pPr>
        <w:jc w:val="both"/>
        <w:rPr>
          <w:sz w:val="18"/>
          <w:szCs w:val="18"/>
        </w:rPr>
      </w:pPr>
      <w:r>
        <w:rPr>
          <w:sz w:val="18"/>
          <w:szCs w:val="18"/>
        </w:rPr>
        <w:t xml:space="preserve">The </w:t>
      </w:r>
      <w:r w:rsidR="002B37BE">
        <w:rPr>
          <w:sz w:val="18"/>
          <w:szCs w:val="18"/>
        </w:rPr>
        <w:t xml:space="preserve">canonical </w:t>
      </w:r>
      <w:r>
        <w:rPr>
          <w:sz w:val="18"/>
          <w:szCs w:val="18"/>
        </w:rPr>
        <w:t xml:space="preserve">genetic </w:t>
      </w:r>
      <w:r w:rsidR="002B37BE">
        <w:rPr>
          <w:sz w:val="18"/>
          <w:szCs w:val="18"/>
        </w:rPr>
        <w:t>signature</w:t>
      </w:r>
      <w:r>
        <w:rPr>
          <w:sz w:val="18"/>
          <w:szCs w:val="18"/>
        </w:rPr>
        <w:t xml:space="preserve"> of the human brain </w:t>
      </w:r>
      <w:r w:rsidR="002B37BE">
        <w:rPr>
          <w:sz w:val="18"/>
          <w:szCs w:val="18"/>
        </w:rPr>
        <w:t>exhibits a highly conserved architecture with differential transcriptional patterns observed between and within major structures driving functionally relevant circuitry (</w:t>
      </w:r>
      <w:proofErr w:type="spellStart"/>
      <w:r w:rsidR="002B37BE">
        <w:rPr>
          <w:sz w:val="18"/>
          <w:szCs w:val="18"/>
        </w:rPr>
        <w:t>Hawrylycz</w:t>
      </w:r>
      <w:proofErr w:type="spellEnd"/>
      <w:r w:rsidR="002B37BE">
        <w:rPr>
          <w:sz w:val="18"/>
          <w:szCs w:val="18"/>
        </w:rPr>
        <w:t xml:space="preserve">, 2012,2015). To investigate the relationships between the spatial patterning of default transcriptional architecture and variations in magnetic susceptibility as a result of GTS pathophysiology, we employed </w:t>
      </w:r>
      <w:r w:rsidR="0011433B">
        <w:rPr>
          <w:sz w:val="18"/>
          <w:szCs w:val="18"/>
        </w:rPr>
        <w:t xml:space="preserve">a </w:t>
      </w:r>
      <w:r w:rsidR="002B37BE">
        <w:rPr>
          <w:sz w:val="18"/>
          <w:szCs w:val="18"/>
        </w:rPr>
        <w:t>novel</w:t>
      </w:r>
      <w:r w:rsidR="00B67473">
        <w:rPr>
          <w:sz w:val="18"/>
          <w:szCs w:val="18"/>
        </w:rPr>
        <w:t xml:space="preserve"> validated</w:t>
      </w:r>
      <w:r w:rsidR="002B37BE">
        <w:rPr>
          <w:sz w:val="18"/>
          <w:szCs w:val="18"/>
        </w:rPr>
        <w:t xml:space="preserve"> spatial transcriptomic approach utilizing gene expression </w:t>
      </w:r>
      <w:r w:rsidR="00556EDA">
        <w:rPr>
          <w:sz w:val="18"/>
          <w:szCs w:val="18"/>
        </w:rPr>
        <w:t>values</w:t>
      </w:r>
      <w:r w:rsidR="002B37BE">
        <w:rPr>
          <w:sz w:val="18"/>
          <w:szCs w:val="18"/>
        </w:rPr>
        <w:t xml:space="preserve"> </w:t>
      </w:r>
      <w:r w:rsidR="0011433B">
        <w:rPr>
          <w:sz w:val="18"/>
          <w:szCs w:val="18"/>
        </w:rPr>
        <w:t>from</w:t>
      </w:r>
      <w:r w:rsidR="002B37BE">
        <w:rPr>
          <w:sz w:val="18"/>
          <w:szCs w:val="18"/>
        </w:rPr>
        <w:t xml:space="preserve"> the Allen Human Brain Atlas</w:t>
      </w:r>
      <w:r w:rsidR="0011433B">
        <w:rPr>
          <w:sz w:val="18"/>
          <w:szCs w:val="18"/>
        </w:rPr>
        <w:t xml:space="preserve"> (AHBA) (</w:t>
      </w:r>
      <w:proofErr w:type="spellStart"/>
      <w:r w:rsidR="0011433B">
        <w:rPr>
          <w:sz w:val="18"/>
          <w:szCs w:val="18"/>
        </w:rPr>
        <w:t>Hawrylycz</w:t>
      </w:r>
      <w:proofErr w:type="spellEnd"/>
      <w:r w:rsidR="0011433B">
        <w:rPr>
          <w:sz w:val="18"/>
          <w:szCs w:val="18"/>
        </w:rPr>
        <w:t>, 2012</w:t>
      </w:r>
      <w:r w:rsidR="00B67473">
        <w:rPr>
          <w:sz w:val="18"/>
          <w:szCs w:val="18"/>
        </w:rPr>
        <w:t xml:space="preserve">, </w:t>
      </w:r>
      <w:r w:rsidR="00B67473" w:rsidRPr="00B67473">
        <w:rPr>
          <w:rFonts w:ascii="Calibri" w:hAnsi="Calibri" w:cs="Calibri"/>
          <w:sz w:val="18"/>
          <w:szCs w:val="18"/>
        </w:rPr>
        <w:t>﻿</w:t>
      </w:r>
      <w:r w:rsidR="00B67473" w:rsidRPr="00B67473">
        <w:rPr>
          <w:sz w:val="18"/>
          <w:szCs w:val="18"/>
        </w:rPr>
        <w:t>Arnatkevic</w:t>
      </w:r>
      <w:r w:rsidR="00B67473">
        <w:rPr>
          <w:sz w:val="18"/>
          <w:szCs w:val="18"/>
        </w:rPr>
        <w:t xml:space="preserve">ute,2019, </w:t>
      </w:r>
      <w:proofErr w:type="spellStart"/>
      <w:r w:rsidR="00B67473">
        <w:rPr>
          <w:sz w:val="18"/>
          <w:szCs w:val="18"/>
        </w:rPr>
        <w:t>Fornito</w:t>
      </w:r>
      <w:proofErr w:type="spellEnd"/>
      <w:r w:rsidR="00B67473">
        <w:rPr>
          <w:sz w:val="18"/>
          <w:szCs w:val="18"/>
        </w:rPr>
        <w:t>, 2019</w:t>
      </w:r>
      <w:r w:rsidR="0011433B">
        <w:rPr>
          <w:sz w:val="18"/>
          <w:szCs w:val="18"/>
        </w:rPr>
        <w:t>)</w:t>
      </w:r>
      <w:r w:rsidR="002B37BE">
        <w:rPr>
          <w:sz w:val="18"/>
          <w:szCs w:val="18"/>
        </w:rPr>
        <w:t>.</w:t>
      </w:r>
      <w:r w:rsidR="00AE513B">
        <w:rPr>
          <w:sz w:val="18"/>
          <w:szCs w:val="18"/>
        </w:rPr>
        <w:t xml:space="preserve"> The AHBA is a high-resolution gene expression atlas with whole-brain coverage containing tissue samples extracted from N=3702 spatially distinct </w:t>
      </w:r>
      <w:proofErr w:type="gramStart"/>
      <w:r w:rsidR="00AE513B">
        <w:rPr>
          <w:sz w:val="18"/>
          <w:szCs w:val="18"/>
        </w:rPr>
        <w:t xml:space="preserve">coordinates </w:t>
      </w:r>
      <w:r w:rsidR="002771CA">
        <w:rPr>
          <w:sz w:val="18"/>
          <w:szCs w:val="18"/>
        </w:rPr>
        <w:t xml:space="preserve"> mapped</w:t>
      </w:r>
      <w:proofErr w:type="gramEnd"/>
      <w:r w:rsidR="002771CA">
        <w:rPr>
          <w:sz w:val="18"/>
          <w:szCs w:val="18"/>
        </w:rPr>
        <w:t xml:space="preserve"> to MNI standard space </w:t>
      </w:r>
      <w:r w:rsidR="00DE30E3">
        <w:rPr>
          <w:sz w:val="18"/>
          <w:szCs w:val="18"/>
        </w:rPr>
        <w:t xml:space="preserve">and </w:t>
      </w:r>
      <w:r w:rsidR="00AE513B">
        <w:rPr>
          <w:sz w:val="18"/>
          <w:szCs w:val="18"/>
        </w:rPr>
        <w:t xml:space="preserve">obtained from </w:t>
      </w:r>
      <w:r w:rsidR="008738B3">
        <w:rPr>
          <w:sz w:val="18"/>
          <w:szCs w:val="18"/>
        </w:rPr>
        <w:t>N=</w:t>
      </w:r>
      <w:r w:rsidR="00AE513B">
        <w:rPr>
          <w:sz w:val="18"/>
          <w:szCs w:val="18"/>
        </w:rPr>
        <w:t xml:space="preserve">6 neurotypical </w:t>
      </w:r>
      <w:r w:rsidR="00804C43">
        <w:rPr>
          <w:sz w:val="18"/>
          <w:szCs w:val="18"/>
        </w:rPr>
        <w:t>individuals</w:t>
      </w:r>
      <w:r w:rsidR="00AE513B">
        <w:rPr>
          <w:sz w:val="18"/>
          <w:szCs w:val="18"/>
        </w:rPr>
        <w:t xml:space="preserve"> postmortem (2 female, Age = XXX). From each tissue sample, transcriptome data </w:t>
      </w:r>
      <w:r w:rsidR="00532ABD">
        <w:rPr>
          <w:sz w:val="18"/>
          <w:szCs w:val="18"/>
        </w:rPr>
        <w:t>were</w:t>
      </w:r>
      <w:r w:rsidR="00AE513B">
        <w:rPr>
          <w:sz w:val="18"/>
          <w:szCs w:val="18"/>
        </w:rPr>
        <w:t xml:space="preserve"> analyzed using Agilent microarrays using N=58,692 probes resulting in transcriptional levels from 20,737 unique annotated genes. </w:t>
      </w:r>
    </w:p>
    <w:p w14:paraId="26E48427" w14:textId="77777777" w:rsidR="00AE513B" w:rsidRDefault="00AE513B" w:rsidP="00387D74">
      <w:pPr>
        <w:jc w:val="both"/>
        <w:rPr>
          <w:sz w:val="18"/>
          <w:szCs w:val="18"/>
        </w:rPr>
      </w:pPr>
    </w:p>
    <w:p w14:paraId="0E678B44" w14:textId="5830FAC4" w:rsidR="005F188A" w:rsidRDefault="00AE513B" w:rsidP="00387D74">
      <w:pPr>
        <w:jc w:val="both"/>
        <w:rPr>
          <w:sz w:val="18"/>
          <w:szCs w:val="18"/>
        </w:rPr>
      </w:pPr>
      <w:r>
        <w:rPr>
          <w:sz w:val="18"/>
          <w:szCs w:val="18"/>
        </w:rPr>
        <w:t xml:space="preserve">Our overarching aim here was to uncover the major genetic classes of variation that </w:t>
      </w:r>
      <w:r w:rsidR="008738B3">
        <w:rPr>
          <w:sz w:val="18"/>
          <w:szCs w:val="18"/>
        </w:rPr>
        <w:t>maximum co-variance</w:t>
      </w:r>
      <w:r>
        <w:rPr>
          <w:sz w:val="18"/>
          <w:szCs w:val="18"/>
        </w:rPr>
        <w:t xml:space="preserve"> </w:t>
      </w:r>
      <w:r w:rsidR="00843807">
        <w:rPr>
          <w:sz w:val="18"/>
          <w:szCs w:val="18"/>
        </w:rPr>
        <w:t>with</w:t>
      </w:r>
      <w:r>
        <w:rPr>
          <w:sz w:val="18"/>
          <w:szCs w:val="18"/>
        </w:rPr>
        <w:t xml:space="preserve"> iron-related differences</w:t>
      </w:r>
      <w:r w:rsidR="00843807">
        <w:rPr>
          <w:sz w:val="18"/>
          <w:szCs w:val="18"/>
        </w:rPr>
        <w:t xml:space="preserve"> in GTS as indexed via magnetic susceptibility. We focused on estimating iron-related variations within the striatum, a major locus of pathophysiology in GTS by computing voxel-wise magnetic susceptibility differences within the motor, executive and limbic subdivisions. </w:t>
      </w:r>
      <w:r w:rsidR="008738B3">
        <w:rPr>
          <w:sz w:val="18"/>
          <w:szCs w:val="18"/>
        </w:rPr>
        <w:t>T-s</w:t>
      </w:r>
      <w:r w:rsidR="00843807">
        <w:rPr>
          <w:sz w:val="18"/>
          <w:szCs w:val="18"/>
        </w:rPr>
        <w:t xml:space="preserve">tatistical maps were calculated via non-parametric </w:t>
      </w:r>
      <w:r w:rsidR="00DE30E3">
        <w:rPr>
          <w:sz w:val="18"/>
          <w:szCs w:val="18"/>
        </w:rPr>
        <w:t>permutation</w:t>
      </w:r>
      <w:r w:rsidR="00843807">
        <w:rPr>
          <w:sz w:val="18"/>
          <w:szCs w:val="18"/>
        </w:rPr>
        <w:t xml:space="preserve"> testing with 10,000 permutations </w:t>
      </w:r>
      <w:r w:rsidR="008738B3">
        <w:rPr>
          <w:sz w:val="18"/>
          <w:szCs w:val="18"/>
        </w:rPr>
        <w:t xml:space="preserve">using </w:t>
      </w:r>
      <w:r w:rsidR="00843807">
        <w:rPr>
          <w:sz w:val="18"/>
          <w:szCs w:val="18"/>
        </w:rPr>
        <w:t xml:space="preserve">FSL randomize </w:t>
      </w:r>
      <w:r w:rsidR="008738B3">
        <w:rPr>
          <w:sz w:val="18"/>
          <w:szCs w:val="18"/>
        </w:rPr>
        <w:t>(</w:t>
      </w:r>
      <w:r w:rsidR="00843807">
        <w:rPr>
          <w:sz w:val="18"/>
          <w:szCs w:val="18"/>
        </w:rPr>
        <w:t xml:space="preserve">REF). </w:t>
      </w:r>
      <w:r w:rsidR="00155293">
        <w:rPr>
          <w:sz w:val="18"/>
          <w:szCs w:val="18"/>
        </w:rPr>
        <w:t xml:space="preserve">Care was employed in deriving </w:t>
      </w:r>
      <w:r w:rsidR="00532ABD">
        <w:rPr>
          <w:sz w:val="18"/>
          <w:szCs w:val="18"/>
        </w:rPr>
        <w:t xml:space="preserve">the </w:t>
      </w:r>
      <w:r w:rsidR="008738B3">
        <w:rPr>
          <w:sz w:val="18"/>
          <w:szCs w:val="18"/>
        </w:rPr>
        <w:t xml:space="preserve">well-defined </w:t>
      </w:r>
      <w:r w:rsidR="00155293">
        <w:rPr>
          <w:sz w:val="18"/>
          <w:szCs w:val="18"/>
        </w:rPr>
        <w:t>s</w:t>
      </w:r>
      <w:r w:rsidR="005F188A">
        <w:rPr>
          <w:sz w:val="18"/>
          <w:szCs w:val="18"/>
        </w:rPr>
        <w:t xml:space="preserve">triatal </w:t>
      </w:r>
      <w:r w:rsidR="00155293">
        <w:rPr>
          <w:sz w:val="18"/>
          <w:szCs w:val="18"/>
        </w:rPr>
        <w:t xml:space="preserve">subdivision </w:t>
      </w:r>
      <w:r w:rsidR="005F188A">
        <w:rPr>
          <w:sz w:val="18"/>
          <w:szCs w:val="18"/>
        </w:rPr>
        <w:t>masks</w:t>
      </w:r>
      <w:r w:rsidR="008738B3">
        <w:rPr>
          <w:sz w:val="18"/>
          <w:szCs w:val="18"/>
        </w:rPr>
        <w:t xml:space="preserve"> with no overlap,</w:t>
      </w:r>
      <w:r w:rsidR="005F188A">
        <w:rPr>
          <w:sz w:val="18"/>
          <w:szCs w:val="18"/>
        </w:rPr>
        <w:t xml:space="preserve"> </w:t>
      </w:r>
      <w:r w:rsidR="008738B3">
        <w:rPr>
          <w:sz w:val="18"/>
          <w:szCs w:val="18"/>
        </w:rPr>
        <w:t xml:space="preserve">by transforming </w:t>
      </w:r>
      <w:r w:rsidR="005F188A">
        <w:rPr>
          <w:sz w:val="18"/>
          <w:szCs w:val="18"/>
        </w:rPr>
        <w:t>the Harvard</w:t>
      </w:r>
      <w:r w:rsidR="00155293">
        <w:rPr>
          <w:sz w:val="18"/>
          <w:szCs w:val="18"/>
        </w:rPr>
        <w:t>-O</w:t>
      </w:r>
      <w:r w:rsidR="005F188A">
        <w:rPr>
          <w:sz w:val="18"/>
          <w:szCs w:val="18"/>
        </w:rPr>
        <w:t>xford</w:t>
      </w:r>
      <w:r w:rsidR="00155293">
        <w:rPr>
          <w:sz w:val="18"/>
          <w:szCs w:val="18"/>
        </w:rPr>
        <w:t xml:space="preserve"> </w:t>
      </w:r>
      <w:r w:rsidR="005F188A">
        <w:rPr>
          <w:sz w:val="18"/>
          <w:szCs w:val="18"/>
        </w:rPr>
        <w:t>striatal atlas</w:t>
      </w:r>
      <w:r w:rsidR="008738B3">
        <w:rPr>
          <w:sz w:val="18"/>
          <w:szCs w:val="18"/>
        </w:rPr>
        <w:t xml:space="preserve"> to an average study before</w:t>
      </w:r>
      <w:r w:rsidR="00155293">
        <w:rPr>
          <w:sz w:val="18"/>
          <w:szCs w:val="18"/>
        </w:rPr>
        <w:t xml:space="preserve"> binn</w:t>
      </w:r>
      <w:r w:rsidR="008738B3">
        <w:rPr>
          <w:sz w:val="18"/>
          <w:szCs w:val="18"/>
        </w:rPr>
        <w:t>ing</w:t>
      </w:r>
      <w:r w:rsidR="00155293">
        <w:rPr>
          <w:sz w:val="18"/>
          <w:szCs w:val="18"/>
        </w:rPr>
        <w:t xml:space="preserve"> </w:t>
      </w:r>
      <w:r w:rsidR="008738B3">
        <w:rPr>
          <w:sz w:val="18"/>
          <w:szCs w:val="18"/>
        </w:rPr>
        <w:t>to</w:t>
      </w:r>
      <w:r w:rsidR="00155293">
        <w:rPr>
          <w:sz w:val="18"/>
          <w:szCs w:val="18"/>
        </w:rPr>
        <w:t xml:space="preserve"> 0.5</w:t>
      </w:r>
      <w:r w:rsidR="008738B3">
        <w:rPr>
          <w:sz w:val="18"/>
          <w:szCs w:val="18"/>
        </w:rPr>
        <w:t xml:space="preserve"> and erosion by</w:t>
      </w:r>
      <w:r w:rsidR="00155293">
        <w:rPr>
          <w:sz w:val="18"/>
          <w:szCs w:val="18"/>
        </w:rPr>
        <w:t xml:space="preserve"> one. </w:t>
      </w:r>
      <w:r w:rsidR="008738B3">
        <w:rPr>
          <w:sz w:val="18"/>
          <w:szCs w:val="18"/>
        </w:rPr>
        <w:t>Tissue sample seed m</w:t>
      </w:r>
      <w:r w:rsidR="00155293">
        <w:rPr>
          <w:sz w:val="18"/>
          <w:szCs w:val="18"/>
        </w:rPr>
        <w:t>asks</w:t>
      </w:r>
      <w:r w:rsidR="008738B3">
        <w:rPr>
          <w:sz w:val="18"/>
          <w:szCs w:val="18"/>
        </w:rPr>
        <w:t xml:space="preserve"> (1mm3</w:t>
      </w:r>
      <w:proofErr w:type="gramStart"/>
      <w:r w:rsidR="008738B3">
        <w:rPr>
          <w:sz w:val="18"/>
          <w:szCs w:val="18"/>
        </w:rPr>
        <w:t xml:space="preserve">) </w:t>
      </w:r>
      <w:r w:rsidR="00155293">
        <w:rPr>
          <w:sz w:val="18"/>
          <w:szCs w:val="18"/>
        </w:rPr>
        <w:t xml:space="preserve"> </w:t>
      </w:r>
      <w:r w:rsidR="008738B3">
        <w:rPr>
          <w:sz w:val="18"/>
          <w:szCs w:val="18"/>
        </w:rPr>
        <w:t>were</w:t>
      </w:r>
      <w:proofErr w:type="gramEnd"/>
      <w:r w:rsidR="008738B3">
        <w:rPr>
          <w:sz w:val="18"/>
          <w:szCs w:val="18"/>
        </w:rPr>
        <w:t xml:space="preserve"> created based on AHBA </w:t>
      </w:r>
      <w:r w:rsidR="00155293">
        <w:rPr>
          <w:sz w:val="18"/>
          <w:szCs w:val="18"/>
        </w:rPr>
        <w:t xml:space="preserve">coordinates </w:t>
      </w:r>
      <w:r w:rsidR="008738B3">
        <w:rPr>
          <w:sz w:val="18"/>
          <w:szCs w:val="18"/>
        </w:rPr>
        <w:t xml:space="preserve">within each subdivision </w:t>
      </w:r>
      <w:r w:rsidR="00155293">
        <w:rPr>
          <w:sz w:val="18"/>
          <w:szCs w:val="18"/>
        </w:rPr>
        <w:t>yiel</w:t>
      </w:r>
      <w:r w:rsidR="00601EE4">
        <w:rPr>
          <w:sz w:val="18"/>
          <w:szCs w:val="18"/>
        </w:rPr>
        <w:t>d</w:t>
      </w:r>
      <w:r w:rsidR="008738B3">
        <w:rPr>
          <w:sz w:val="18"/>
          <w:szCs w:val="18"/>
        </w:rPr>
        <w:t>ing</w:t>
      </w:r>
      <w:r w:rsidR="00155293">
        <w:rPr>
          <w:sz w:val="18"/>
          <w:szCs w:val="18"/>
        </w:rPr>
        <w:t xml:space="preserve"> N=48 seeds for the motor and executive </w:t>
      </w:r>
      <w:r w:rsidR="00532ABD">
        <w:rPr>
          <w:sz w:val="18"/>
          <w:szCs w:val="18"/>
        </w:rPr>
        <w:t>subdivisions and</w:t>
      </w:r>
      <w:r w:rsidR="00155293">
        <w:rPr>
          <w:sz w:val="18"/>
          <w:szCs w:val="18"/>
        </w:rPr>
        <w:t xml:space="preserve"> N=40 seeds for the limbic subdivision. </w:t>
      </w:r>
      <w:r w:rsidR="00601EE4">
        <w:rPr>
          <w:sz w:val="18"/>
          <w:szCs w:val="18"/>
        </w:rPr>
        <w:t>Ontological annotation</w:t>
      </w:r>
      <w:r w:rsidR="005E7B6E">
        <w:rPr>
          <w:sz w:val="18"/>
          <w:szCs w:val="18"/>
        </w:rPr>
        <w:t>s</w:t>
      </w:r>
      <w:r w:rsidR="00601EE4">
        <w:rPr>
          <w:sz w:val="18"/>
          <w:szCs w:val="18"/>
        </w:rPr>
        <w:t xml:space="preserve"> as defined by the AHBA </w:t>
      </w:r>
      <w:r w:rsidR="005E7B6E">
        <w:rPr>
          <w:sz w:val="18"/>
          <w:szCs w:val="18"/>
        </w:rPr>
        <w:t>were</w:t>
      </w:r>
      <w:r w:rsidR="00601EE4">
        <w:rPr>
          <w:sz w:val="18"/>
          <w:szCs w:val="18"/>
        </w:rPr>
        <w:t xml:space="preserve"> inspected to ensure that the seeds fall within the striatum</w:t>
      </w:r>
      <w:r w:rsidR="005E7B6E">
        <w:rPr>
          <w:sz w:val="18"/>
          <w:szCs w:val="18"/>
        </w:rPr>
        <w:t xml:space="preserve"> and seeds outside of the striatum were removed. </w:t>
      </w:r>
    </w:p>
    <w:p w14:paraId="098A1ECD" w14:textId="12CC4FDA" w:rsidR="00532ABD" w:rsidRDefault="00532ABD" w:rsidP="00387D74">
      <w:pPr>
        <w:jc w:val="both"/>
        <w:rPr>
          <w:sz w:val="18"/>
          <w:szCs w:val="18"/>
        </w:rPr>
      </w:pPr>
    </w:p>
    <w:p w14:paraId="0BFE0F9D" w14:textId="3F222FA7" w:rsidR="00F53E03" w:rsidRPr="00E75905" w:rsidRDefault="00B67473" w:rsidP="00387D74">
      <w:pPr>
        <w:jc w:val="both"/>
        <w:rPr>
          <w:sz w:val="18"/>
          <w:szCs w:val="18"/>
        </w:rPr>
      </w:pPr>
      <w:r>
        <w:rPr>
          <w:sz w:val="18"/>
          <w:szCs w:val="18"/>
        </w:rPr>
        <w:t xml:space="preserve">To uncover latent associations between </w:t>
      </w:r>
      <w:r w:rsidR="00556EDA">
        <w:rPr>
          <w:sz w:val="18"/>
          <w:szCs w:val="18"/>
        </w:rPr>
        <w:t>magnetic</w:t>
      </w:r>
      <w:r>
        <w:rPr>
          <w:sz w:val="18"/>
          <w:szCs w:val="18"/>
        </w:rPr>
        <w:t xml:space="preserve"> susceptibility differences as a result of GTS pathophysiology</w:t>
      </w:r>
      <w:r w:rsidR="00556EDA">
        <w:rPr>
          <w:sz w:val="18"/>
          <w:szCs w:val="18"/>
        </w:rPr>
        <w:t xml:space="preserve"> and patterns of gene expression</w:t>
      </w:r>
      <w:r>
        <w:rPr>
          <w:sz w:val="18"/>
          <w:szCs w:val="18"/>
        </w:rPr>
        <w:t>, we</w:t>
      </w:r>
      <w:r w:rsidR="00556EDA">
        <w:rPr>
          <w:sz w:val="18"/>
          <w:szCs w:val="18"/>
        </w:rPr>
        <w:t xml:space="preserve"> implemented Partial Least Squares </w:t>
      </w:r>
      <w:r w:rsidR="00843807">
        <w:rPr>
          <w:sz w:val="18"/>
          <w:szCs w:val="18"/>
        </w:rPr>
        <w:t>regressio</w:t>
      </w:r>
      <w:r w:rsidR="00962F05">
        <w:rPr>
          <w:sz w:val="18"/>
          <w:szCs w:val="18"/>
        </w:rPr>
        <w:t>n</w:t>
      </w:r>
      <w:r w:rsidR="00843807">
        <w:rPr>
          <w:sz w:val="18"/>
          <w:szCs w:val="18"/>
        </w:rPr>
        <w:t xml:space="preserve">. </w:t>
      </w:r>
      <w:r w:rsidR="005F188A">
        <w:rPr>
          <w:sz w:val="18"/>
          <w:szCs w:val="18"/>
        </w:rPr>
        <w:t xml:space="preserve">For each functional domain within the striatum, we constructed matrices exhibiting gene expression </w:t>
      </w:r>
      <w:r w:rsidR="008738B3">
        <w:rPr>
          <w:sz w:val="18"/>
          <w:szCs w:val="18"/>
        </w:rPr>
        <w:t xml:space="preserve">data </w:t>
      </w:r>
      <w:r w:rsidR="005F188A">
        <w:rPr>
          <w:sz w:val="18"/>
          <w:szCs w:val="18"/>
        </w:rPr>
        <w:t xml:space="preserve">and case-control susceptibility </w:t>
      </w:r>
      <w:r w:rsidR="00962F05">
        <w:rPr>
          <w:sz w:val="18"/>
          <w:szCs w:val="18"/>
        </w:rPr>
        <w:t>t-</w:t>
      </w:r>
      <w:r w:rsidR="005F188A">
        <w:rPr>
          <w:sz w:val="18"/>
          <w:szCs w:val="18"/>
        </w:rPr>
        <w:t xml:space="preserve">statistical values from </w:t>
      </w:r>
      <w:r w:rsidR="00DE30E3">
        <w:rPr>
          <w:sz w:val="18"/>
          <w:szCs w:val="18"/>
        </w:rPr>
        <w:t xml:space="preserve">the </w:t>
      </w:r>
      <w:r w:rsidR="005F188A">
        <w:rPr>
          <w:sz w:val="18"/>
          <w:szCs w:val="18"/>
        </w:rPr>
        <w:t>MRI defined tissue coordinates that lie within the confines of the motor, and limbic</w:t>
      </w:r>
      <w:r w:rsidR="00DD6654">
        <w:rPr>
          <w:sz w:val="18"/>
          <w:szCs w:val="18"/>
        </w:rPr>
        <w:t xml:space="preserve"> </w:t>
      </w:r>
      <w:r w:rsidR="00962F05">
        <w:rPr>
          <w:sz w:val="18"/>
          <w:szCs w:val="18"/>
        </w:rPr>
        <w:t>subdivisions</w:t>
      </w:r>
      <w:r w:rsidR="00DE30E3">
        <w:rPr>
          <w:sz w:val="18"/>
          <w:szCs w:val="18"/>
        </w:rPr>
        <w:t>.</w:t>
      </w:r>
      <w:r w:rsidR="00962F05">
        <w:rPr>
          <w:sz w:val="18"/>
          <w:szCs w:val="18"/>
        </w:rPr>
        <w:t xml:space="preserve"> </w:t>
      </w:r>
      <w:r w:rsidR="00DE30E3">
        <w:rPr>
          <w:sz w:val="18"/>
          <w:szCs w:val="18"/>
        </w:rPr>
        <w:t xml:space="preserve">Microarray gene expression </w:t>
      </w:r>
      <w:r w:rsidR="00962F05">
        <w:rPr>
          <w:sz w:val="18"/>
          <w:szCs w:val="18"/>
        </w:rPr>
        <w:t>matrices (e.g. 48x20737 for motor division)</w:t>
      </w:r>
      <w:r w:rsidR="00DE30E3">
        <w:rPr>
          <w:sz w:val="18"/>
          <w:szCs w:val="18"/>
        </w:rPr>
        <w:t xml:space="preserve"> were used to predict regional magnetic susceptibility variations as defined by case-control t-statistical map </w:t>
      </w:r>
      <w:r w:rsidR="00962F05">
        <w:rPr>
          <w:sz w:val="18"/>
          <w:szCs w:val="18"/>
        </w:rPr>
        <w:t xml:space="preserve">(e.g. 48x1 for motor division) </w:t>
      </w:r>
      <w:r w:rsidR="00DD6654">
        <w:rPr>
          <w:sz w:val="18"/>
          <w:szCs w:val="18"/>
        </w:rPr>
        <w:t xml:space="preserve">within each </w:t>
      </w:r>
      <w:r w:rsidR="00962F05">
        <w:rPr>
          <w:sz w:val="18"/>
          <w:szCs w:val="18"/>
        </w:rPr>
        <w:t>subdivision via PLS</w:t>
      </w:r>
      <w:r w:rsidR="00F14F93">
        <w:rPr>
          <w:sz w:val="18"/>
          <w:szCs w:val="18"/>
        </w:rPr>
        <w:t xml:space="preserve"> regression</w:t>
      </w:r>
      <w:r w:rsidR="00DD6654">
        <w:rPr>
          <w:sz w:val="18"/>
          <w:szCs w:val="18"/>
        </w:rPr>
        <w:t xml:space="preserve">. </w:t>
      </w:r>
      <w:r w:rsidR="008738B3">
        <w:rPr>
          <w:sz w:val="18"/>
          <w:szCs w:val="18"/>
        </w:rPr>
        <w:t>In other words</w:t>
      </w:r>
      <w:r w:rsidR="00E75905">
        <w:rPr>
          <w:b/>
          <w:bCs/>
          <w:sz w:val="18"/>
          <w:szCs w:val="18"/>
        </w:rPr>
        <w:t xml:space="preserve">, </w:t>
      </w:r>
      <w:r w:rsidR="00E75905">
        <w:rPr>
          <w:sz w:val="18"/>
          <w:szCs w:val="18"/>
        </w:rPr>
        <w:t xml:space="preserve">PLS regression was used to identify the linear combination of genes that best predicted the case-control magnetic susceptibility t-statistical differences as </w:t>
      </w:r>
      <w:r w:rsidR="008738B3">
        <w:rPr>
          <w:sz w:val="18"/>
          <w:szCs w:val="18"/>
        </w:rPr>
        <w:t xml:space="preserve">the </w:t>
      </w:r>
      <w:r w:rsidR="00F53E03">
        <w:rPr>
          <w:sz w:val="18"/>
          <w:szCs w:val="18"/>
        </w:rPr>
        <w:t>response variable. Statistical significance of the goodness of fit for the PLS</w:t>
      </w:r>
      <w:r w:rsidR="00801EAA" w:rsidRPr="00801EAA">
        <w:rPr>
          <w:sz w:val="18"/>
          <w:szCs w:val="18"/>
        </w:rPr>
        <w:t xml:space="preserve"> </w:t>
      </w:r>
      <w:r w:rsidR="00801EAA">
        <w:rPr>
          <w:sz w:val="18"/>
          <w:szCs w:val="18"/>
        </w:rPr>
        <w:t>principal</w:t>
      </w:r>
      <w:r w:rsidR="00F53E03">
        <w:rPr>
          <w:sz w:val="18"/>
          <w:szCs w:val="18"/>
        </w:rPr>
        <w:t xml:space="preserve"> components was tested with a two-tailed test at a=0.05 by </w:t>
      </w:r>
      <w:proofErr w:type="spellStart"/>
      <w:r w:rsidR="00801EAA">
        <w:rPr>
          <w:sz w:val="18"/>
          <w:szCs w:val="18"/>
        </w:rPr>
        <w:t>permuation</w:t>
      </w:r>
      <w:proofErr w:type="spellEnd"/>
      <w:r w:rsidR="00801EAA">
        <w:rPr>
          <w:sz w:val="18"/>
          <w:szCs w:val="18"/>
        </w:rPr>
        <w:t xml:space="preserve"> of the </w:t>
      </w:r>
      <w:r w:rsidR="00F53E03">
        <w:rPr>
          <w:sz w:val="18"/>
          <w:szCs w:val="18"/>
        </w:rPr>
        <w:t>response variable</w:t>
      </w:r>
      <w:r w:rsidR="00801EAA">
        <w:rPr>
          <w:sz w:val="18"/>
          <w:szCs w:val="18"/>
        </w:rPr>
        <w:t xml:space="preserve"> 1000 times</w:t>
      </w:r>
      <w:r w:rsidR="00F53E03">
        <w:rPr>
          <w:sz w:val="18"/>
          <w:szCs w:val="18"/>
        </w:rPr>
        <w:t>. The error in estimating each genes weight in the PLS principal components was assessed by bootstrapping. The ratio of the weight of each gene to its bootstrap error was used to calculate Z-scores and rank the genes according to their contributions to each PLS component. PPI networks were constructed using STRING (</w:t>
      </w:r>
      <w:proofErr w:type="spellStart"/>
      <w:r w:rsidR="00F53E03">
        <w:rPr>
          <w:sz w:val="18"/>
          <w:szCs w:val="18"/>
        </w:rPr>
        <w:t>stringdb</w:t>
      </w:r>
      <w:proofErr w:type="spellEnd"/>
      <w:r w:rsidR="00F53E03">
        <w:rPr>
          <w:sz w:val="18"/>
          <w:szCs w:val="18"/>
        </w:rPr>
        <w:t>) for downregulated</w:t>
      </w:r>
      <w:r w:rsidR="00471AFB">
        <w:rPr>
          <w:sz w:val="18"/>
          <w:szCs w:val="18"/>
        </w:rPr>
        <w:t xml:space="preserve"> (PLS–)</w:t>
      </w:r>
      <w:r w:rsidR="00F53E03">
        <w:rPr>
          <w:sz w:val="18"/>
          <w:szCs w:val="18"/>
        </w:rPr>
        <w:t xml:space="preserve"> and upregulated</w:t>
      </w:r>
      <w:r w:rsidR="00471AFB">
        <w:rPr>
          <w:sz w:val="18"/>
          <w:szCs w:val="18"/>
        </w:rPr>
        <w:t xml:space="preserve"> (PLS+)</w:t>
      </w:r>
      <w:r w:rsidR="00F53E03">
        <w:rPr>
          <w:sz w:val="18"/>
          <w:szCs w:val="18"/>
        </w:rPr>
        <w:t xml:space="preserve"> genes for each component, which were defined </w:t>
      </w:r>
      <w:r w:rsidR="00631F03">
        <w:rPr>
          <w:sz w:val="18"/>
          <w:szCs w:val="18"/>
        </w:rPr>
        <w:t xml:space="preserve">as </w:t>
      </w:r>
      <w:r w:rsidR="00471AFB">
        <w:rPr>
          <w:sz w:val="18"/>
          <w:szCs w:val="18"/>
        </w:rPr>
        <w:t xml:space="preserve">genes </w:t>
      </w:r>
      <w:r w:rsidR="00631F03">
        <w:rPr>
          <w:sz w:val="18"/>
          <w:szCs w:val="18"/>
        </w:rPr>
        <w:t>outside the range</w:t>
      </w:r>
      <w:r w:rsidR="00471AFB">
        <w:rPr>
          <w:sz w:val="18"/>
          <w:szCs w:val="18"/>
        </w:rPr>
        <w:t xml:space="preserve"> the 5% and </w:t>
      </w:r>
      <w:r w:rsidR="00F53E03">
        <w:rPr>
          <w:sz w:val="18"/>
          <w:szCs w:val="18"/>
        </w:rPr>
        <w:t>95%</w:t>
      </w:r>
      <w:r w:rsidR="00471AFB">
        <w:rPr>
          <w:sz w:val="18"/>
          <w:szCs w:val="18"/>
        </w:rPr>
        <w:t xml:space="preserve"> percentile</w:t>
      </w:r>
      <w:r w:rsidR="00631F03">
        <w:rPr>
          <w:sz w:val="18"/>
          <w:szCs w:val="18"/>
        </w:rPr>
        <w:t>s</w:t>
      </w:r>
      <w:r w:rsidR="00471AFB">
        <w:rPr>
          <w:sz w:val="18"/>
          <w:szCs w:val="18"/>
        </w:rPr>
        <w:t xml:space="preserve">, </w:t>
      </w:r>
      <w:r w:rsidR="00F53E03">
        <w:rPr>
          <w:sz w:val="18"/>
          <w:szCs w:val="18"/>
        </w:rPr>
        <w:t xml:space="preserve">respectively. </w:t>
      </w:r>
    </w:p>
    <w:p w14:paraId="7A50C9C2" w14:textId="08592206" w:rsidR="00F14F93" w:rsidRDefault="00F14F93" w:rsidP="00556EDA">
      <w:pPr>
        <w:rPr>
          <w:color w:val="FF0000"/>
          <w:sz w:val="16"/>
          <w:szCs w:val="16"/>
        </w:rPr>
      </w:pPr>
    </w:p>
    <w:p w14:paraId="5E7AEE1C" w14:textId="57E146AD" w:rsidR="00F14F93" w:rsidRDefault="006731F9" w:rsidP="00556EDA">
      <w:pPr>
        <w:rPr>
          <w:i/>
          <w:iCs/>
          <w:color w:val="FF0000"/>
          <w:sz w:val="16"/>
          <w:szCs w:val="16"/>
        </w:rPr>
      </w:pPr>
      <w:r w:rsidRPr="007746A1">
        <w:rPr>
          <w:color w:val="FF0000"/>
          <w:sz w:val="16"/>
          <w:szCs w:val="16"/>
        </w:rPr>
        <w:t>We used DAVID (39, 40) to calculate enrichments of KEGG pathways and GO enrichments of biological processes for genes with Z&gt;3 or Z&lt;−3 using a background gene list of 15,745 brain-expressed genes (SI Appendix, section S8.3) (38).</w:t>
      </w:r>
      <w:r w:rsidRPr="007746A1">
        <w:rPr>
          <w:i/>
          <w:iCs/>
          <w:color w:val="FF0000"/>
          <w:sz w:val="16"/>
          <w:szCs w:val="16"/>
        </w:rPr>
        <w:t>"</w:t>
      </w:r>
    </w:p>
    <w:p w14:paraId="7861508F" w14:textId="485C6580" w:rsidR="006731F9" w:rsidRDefault="006731F9" w:rsidP="00556EDA">
      <w:pPr>
        <w:rPr>
          <w:i/>
          <w:iCs/>
          <w:color w:val="FF0000"/>
          <w:sz w:val="16"/>
          <w:szCs w:val="16"/>
        </w:rPr>
      </w:pPr>
    </w:p>
    <w:p w14:paraId="2F63455B" w14:textId="77777777" w:rsidR="00F53E03" w:rsidRDefault="00F53E03" w:rsidP="00387D74">
      <w:pPr>
        <w:jc w:val="both"/>
        <w:rPr>
          <w:sz w:val="18"/>
          <w:szCs w:val="18"/>
        </w:rPr>
      </w:pPr>
    </w:p>
    <w:p w14:paraId="5BF323E8" w14:textId="77777777" w:rsidR="00F53E03" w:rsidRDefault="00F53E03" w:rsidP="00387D74">
      <w:pPr>
        <w:jc w:val="both"/>
        <w:rPr>
          <w:sz w:val="18"/>
          <w:szCs w:val="18"/>
        </w:rPr>
      </w:pPr>
    </w:p>
    <w:p w14:paraId="5EC59E74" w14:textId="77777777" w:rsidR="00F53E03" w:rsidRDefault="00F53E03" w:rsidP="00387D74">
      <w:pPr>
        <w:jc w:val="both"/>
        <w:rPr>
          <w:sz w:val="18"/>
          <w:szCs w:val="18"/>
        </w:rPr>
      </w:pPr>
    </w:p>
    <w:p w14:paraId="653C14C9" w14:textId="77777777" w:rsidR="000A34A9" w:rsidRDefault="000A34A9" w:rsidP="005E1DA2">
      <w:pPr>
        <w:rPr>
          <w:sz w:val="18"/>
          <w:szCs w:val="18"/>
        </w:rPr>
      </w:pPr>
    </w:p>
    <w:p w14:paraId="75A2431A" w14:textId="7FA7D8FB" w:rsidR="005E1DA2" w:rsidRPr="007746A1" w:rsidRDefault="005E1DA2" w:rsidP="005E1DA2">
      <w:pPr>
        <w:rPr>
          <w:b/>
          <w:bCs/>
          <w:sz w:val="28"/>
          <w:szCs w:val="28"/>
        </w:rPr>
      </w:pPr>
      <w:r w:rsidRPr="007746A1">
        <w:rPr>
          <w:b/>
          <w:bCs/>
          <w:sz w:val="28"/>
          <w:szCs w:val="28"/>
        </w:rPr>
        <w:lastRenderedPageBreak/>
        <w:t>Results</w:t>
      </w:r>
    </w:p>
    <w:p w14:paraId="6ED4BBA1" w14:textId="2F5E8963" w:rsidR="00F749E2" w:rsidRPr="007746A1" w:rsidRDefault="00F749E2">
      <w:pPr>
        <w:rPr>
          <w:b/>
          <w:bCs/>
          <w:sz w:val="28"/>
          <w:szCs w:val="28"/>
          <w:lang w:val="en-CA"/>
        </w:rPr>
      </w:pPr>
    </w:p>
    <w:p w14:paraId="58C96B10" w14:textId="49DF6C89"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Reduced </w:t>
      </w:r>
      <w:r w:rsidR="00CF7A0E">
        <w:rPr>
          <w:sz w:val="22"/>
          <w:szCs w:val="22"/>
          <w:lang w:val="en-CA"/>
        </w:rPr>
        <w:t>magnetic susceptibility</w:t>
      </w:r>
      <w:r w:rsidRPr="007746A1">
        <w:rPr>
          <w:sz w:val="22"/>
          <w:szCs w:val="22"/>
          <w:lang w:val="en-CA"/>
        </w:rPr>
        <w:t xml:space="preserve"> in subcortical nuclei </w:t>
      </w:r>
    </w:p>
    <w:p w14:paraId="1B2E903A" w14:textId="25D84990" w:rsidR="009905E4" w:rsidRPr="007746A1" w:rsidRDefault="009905E4" w:rsidP="009905E4">
      <w:pPr>
        <w:pStyle w:val="ListParagraph"/>
        <w:numPr>
          <w:ilvl w:val="0"/>
          <w:numId w:val="3"/>
        </w:numPr>
        <w:rPr>
          <w:sz w:val="22"/>
          <w:szCs w:val="22"/>
          <w:lang w:val="en-CA"/>
        </w:rPr>
      </w:pPr>
      <w:r w:rsidRPr="007746A1">
        <w:rPr>
          <w:sz w:val="22"/>
          <w:szCs w:val="22"/>
          <w:lang w:val="en-CA"/>
        </w:rPr>
        <w:t>Reduced Ferritin</w:t>
      </w:r>
      <w:r w:rsidR="00CF7A0E">
        <w:rPr>
          <w:sz w:val="22"/>
          <w:szCs w:val="22"/>
          <w:lang w:val="en-CA"/>
        </w:rPr>
        <w:t xml:space="preserve"> associated with magnetic susceptibility</w:t>
      </w:r>
    </w:p>
    <w:p w14:paraId="6C7223EE" w14:textId="1EDB1F62"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Ferritin associated with striatal QSM in small and big sample </w:t>
      </w:r>
    </w:p>
    <w:p w14:paraId="574FAFD1" w14:textId="6CA7D677" w:rsidR="009905E4" w:rsidRPr="007746A1" w:rsidRDefault="009905E4" w:rsidP="009905E4">
      <w:pPr>
        <w:pStyle w:val="ListParagraph"/>
        <w:numPr>
          <w:ilvl w:val="0"/>
          <w:numId w:val="3"/>
        </w:numPr>
        <w:rPr>
          <w:sz w:val="22"/>
          <w:szCs w:val="22"/>
          <w:lang w:val="en-CA"/>
        </w:rPr>
      </w:pPr>
      <w:r w:rsidRPr="007746A1">
        <w:rPr>
          <w:sz w:val="22"/>
          <w:szCs w:val="22"/>
          <w:lang w:val="en-CA"/>
        </w:rPr>
        <w:t xml:space="preserve">Ferritin associated with Motor principal component </w:t>
      </w:r>
    </w:p>
    <w:p w14:paraId="01A7BF8F" w14:textId="77777777" w:rsidR="009905E4" w:rsidRPr="007746A1" w:rsidRDefault="009905E4" w:rsidP="009905E4">
      <w:pPr>
        <w:pStyle w:val="ListParagraph"/>
        <w:numPr>
          <w:ilvl w:val="0"/>
          <w:numId w:val="3"/>
        </w:numPr>
        <w:spacing w:before="100" w:beforeAutospacing="1" w:after="100" w:afterAutospacing="1"/>
        <w:rPr>
          <w:color w:val="222222"/>
          <w:sz w:val="22"/>
          <w:szCs w:val="22"/>
        </w:rPr>
      </w:pPr>
      <w:r w:rsidRPr="007746A1">
        <w:rPr>
          <w:color w:val="222222"/>
          <w:sz w:val="22"/>
          <w:szCs w:val="22"/>
        </w:rPr>
        <w:t>GTS exhibits shared genetic heritability (h</w:t>
      </w:r>
      <w:r w:rsidRPr="007746A1">
        <w:rPr>
          <w:color w:val="222222"/>
          <w:sz w:val="22"/>
          <w:szCs w:val="22"/>
          <w:vertAlign w:val="subscript"/>
        </w:rPr>
        <w:t>g</w:t>
      </w:r>
      <w:r w:rsidRPr="007746A1">
        <w:rPr>
          <w:color w:val="222222"/>
          <w:sz w:val="22"/>
          <w:szCs w:val="22"/>
          <w:vertAlign w:val="superscript"/>
        </w:rPr>
        <w:t>2</w:t>
      </w:r>
      <w:r w:rsidRPr="007746A1">
        <w:rPr>
          <w:color w:val="222222"/>
          <w:sz w:val="22"/>
          <w:szCs w:val="22"/>
        </w:rPr>
        <w:t>) with ferritin and transferrin</w:t>
      </w:r>
    </w:p>
    <w:p w14:paraId="44DEA99E" w14:textId="4527D45C" w:rsidR="0094412E" w:rsidRPr="00BB1584" w:rsidRDefault="00F749E2" w:rsidP="0094412E">
      <w:pPr>
        <w:pStyle w:val="ListParagraph"/>
        <w:numPr>
          <w:ilvl w:val="0"/>
          <w:numId w:val="3"/>
        </w:numPr>
        <w:spacing w:before="100" w:beforeAutospacing="1" w:after="100" w:afterAutospacing="1"/>
        <w:rPr>
          <w:color w:val="222222"/>
          <w:sz w:val="22"/>
          <w:szCs w:val="22"/>
        </w:rPr>
      </w:pPr>
      <w:r w:rsidRPr="007746A1">
        <w:rPr>
          <w:color w:val="222222"/>
          <w:sz w:val="22"/>
          <w:szCs w:val="22"/>
        </w:rPr>
        <w:t>Motor striatal Magnetic susceptibility enriched for neurotransmitter and cytoskeletal genetic pathways (which are affected in iron deficiency). </w:t>
      </w:r>
    </w:p>
    <w:p w14:paraId="1028A66C" w14:textId="0E66368E" w:rsidR="0094412E" w:rsidRPr="00BB1584" w:rsidRDefault="0093711E" w:rsidP="0093711E">
      <w:pPr>
        <w:autoSpaceDE w:val="0"/>
        <w:autoSpaceDN w:val="0"/>
        <w:adjustRightInd w:val="0"/>
        <w:jc w:val="both"/>
        <w:rPr>
          <w:b/>
          <w:i/>
          <w:color w:val="4472C4" w:themeColor="accent1"/>
          <w:sz w:val="18"/>
          <w:szCs w:val="18"/>
        </w:rPr>
      </w:pPr>
      <w:r w:rsidRPr="00BB1584">
        <w:rPr>
          <w:b/>
          <w:i/>
          <w:color w:val="4472C4" w:themeColor="accent1"/>
          <w:sz w:val="18"/>
          <w:szCs w:val="18"/>
        </w:rPr>
        <w:t>Demographic and clinical characteristics</w:t>
      </w:r>
    </w:p>
    <w:p w14:paraId="572DB8FE" w14:textId="77777777" w:rsidR="0093711E" w:rsidRPr="00BB1584" w:rsidRDefault="0093711E" w:rsidP="0093711E">
      <w:pPr>
        <w:pStyle w:val="HTMLPreformatted"/>
        <w:jc w:val="both"/>
        <w:rPr>
          <w:rFonts w:ascii="Times New Roman" w:hAnsi="Times New Roman" w:cs="Times New Roman"/>
          <w:color w:val="4472C4" w:themeColor="accent1"/>
          <w:sz w:val="18"/>
          <w:szCs w:val="18"/>
        </w:rPr>
      </w:pPr>
      <w:r w:rsidRPr="00BB1584">
        <w:rPr>
          <w:rFonts w:ascii="Times New Roman" w:hAnsi="Times New Roman" w:cs="Times New Roman"/>
          <w:color w:val="4472C4" w:themeColor="accent1"/>
          <w:sz w:val="18"/>
          <w:szCs w:val="18"/>
        </w:rPr>
        <w:t>Following quality control, the remaining samples included 23 patients (5 female, 36.7±10.8 years) and 26 controls (8 female, 37.9±11.8 years). Both groups were comparable in terms of age (</w:t>
      </w:r>
      <w:r w:rsidRPr="00BB1584">
        <w:rPr>
          <w:rFonts w:ascii="Times New Roman" w:hAnsi="Times New Roman" w:cs="Times New Roman"/>
          <w:i/>
          <w:color w:val="4472C4" w:themeColor="accent1"/>
          <w:sz w:val="18"/>
          <w:szCs w:val="18"/>
        </w:rPr>
        <w:t>t</w:t>
      </w:r>
      <w:r w:rsidRPr="00BB1584">
        <w:rPr>
          <w:rFonts w:ascii="Times New Roman" w:hAnsi="Times New Roman" w:cs="Times New Roman"/>
          <w:color w:val="4472C4" w:themeColor="accent1"/>
          <w:sz w:val="18"/>
          <w:szCs w:val="18"/>
          <w:vertAlign w:val="subscript"/>
        </w:rPr>
        <w:t>47</w:t>
      </w:r>
      <w:r w:rsidRPr="00BB1584">
        <w:rPr>
          <w:rFonts w:ascii="Times New Roman" w:hAnsi="Times New Roman" w:cs="Times New Roman"/>
          <w:color w:val="4472C4" w:themeColor="accent1"/>
          <w:sz w:val="18"/>
          <w:szCs w:val="18"/>
        </w:rPr>
        <w:t xml:space="preserve">=0.38, </w:t>
      </w:r>
      <w:r w:rsidRPr="00BB1584">
        <w:rPr>
          <w:rFonts w:ascii="Times New Roman" w:hAnsi="Times New Roman" w:cs="Times New Roman"/>
          <w:i/>
          <w:color w:val="4472C4" w:themeColor="accent1"/>
          <w:sz w:val="18"/>
          <w:szCs w:val="18"/>
        </w:rPr>
        <w:t>P</w:t>
      </w:r>
      <w:r w:rsidRPr="00BB1584">
        <w:rPr>
          <w:rFonts w:ascii="Times New Roman" w:hAnsi="Times New Roman" w:cs="Times New Roman"/>
          <w:color w:val="4472C4" w:themeColor="accent1"/>
          <w:sz w:val="18"/>
          <w:szCs w:val="18"/>
        </w:rPr>
        <w:t xml:space="preserve">=0.70), gender (Fischer’s odds ratio = 0.52, </w:t>
      </w:r>
      <w:r w:rsidRPr="00BB1584">
        <w:rPr>
          <w:rFonts w:ascii="Times New Roman" w:hAnsi="Times New Roman" w:cs="Times New Roman"/>
          <w:i/>
          <w:color w:val="4472C4" w:themeColor="accent1"/>
          <w:sz w:val="18"/>
          <w:szCs w:val="18"/>
        </w:rPr>
        <w:t>P</w:t>
      </w:r>
      <w:r w:rsidRPr="00BB1584">
        <w:rPr>
          <w:rFonts w:ascii="Times New Roman" w:hAnsi="Times New Roman" w:cs="Times New Roman"/>
          <w:color w:val="4472C4" w:themeColor="accent1"/>
          <w:sz w:val="18"/>
          <w:szCs w:val="18"/>
        </w:rPr>
        <w:t xml:space="preserve">=0.36) and handedness (all </w:t>
      </w:r>
      <w:proofErr w:type="gramStart"/>
      <w:r w:rsidRPr="00BB1584">
        <w:rPr>
          <w:rFonts w:ascii="Times New Roman" w:hAnsi="Times New Roman" w:cs="Times New Roman"/>
          <w:color w:val="4472C4" w:themeColor="accent1"/>
          <w:sz w:val="18"/>
          <w:szCs w:val="18"/>
        </w:rPr>
        <w:t>right handed</w:t>
      </w:r>
      <w:proofErr w:type="gramEnd"/>
      <w:r w:rsidRPr="00BB1584">
        <w:rPr>
          <w:rFonts w:ascii="Times New Roman" w:hAnsi="Times New Roman" w:cs="Times New Roman"/>
          <w:color w:val="4472C4" w:themeColor="accent1"/>
          <w:sz w:val="18"/>
          <w:szCs w:val="18"/>
        </w:rPr>
        <w:t xml:space="preserve">). Control subjects significantly differed from patients on scales measuring obsessions/compulsions, </w:t>
      </w:r>
      <w:proofErr w:type="gramStart"/>
      <w:r w:rsidRPr="00BB1584">
        <w:rPr>
          <w:rFonts w:ascii="Times New Roman" w:hAnsi="Times New Roman" w:cs="Times New Roman"/>
          <w:color w:val="4472C4" w:themeColor="accent1"/>
          <w:sz w:val="18"/>
          <w:szCs w:val="18"/>
        </w:rPr>
        <w:t>attentional-deficits</w:t>
      </w:r>
      <w:proofErr w:type="gramEnd"/>
      <w:r w:rsidRPr="00BB1584">
        <w:rPr>
          <w:rFonts w:ascii="Times New Roman" w:hAnsi="Times New Roman" w:cs="Times New Roman"/>
          <w:color w:val="4472C4" w:themeColor="accent1"/>
          <w:sz w:val="18"/>
          <w:szCs w:val="18"/>
        </w:rPr>
        <w:t xml:space="preserve">/hyperactivity and depressive symptoms. Reliable diagnosis of psychiatric comorbidities was achieved using the combination of self-reported and physician-rated clinical scales </w:t>
      </w:r>
      <w:r w:rsidRPr="00BB1584">
        <w:rPr>
          <w:rFonts w:ascii="Times New Roman" w:hAnsi="Times New Roman" w:cs="Times New Roman"/>
          <w:color w:val="4472C4" w:themeColor="accent1"/>
          <w:sz w:val="18"/>
          <w:szCs w:val="18"/>
        </w:rPr>
        <w:fldChar w:fldCharType="begin" w:fldLock="1"/>
      </w:r>
      <w:r w:rsidRPr="00BB1584">
        <w:rPr>
          <w:rFonts w:ascii="Times New Roman" w:hAnsi="Times New Roman" w:cs="Times New Roman"/>
          <w:color w:val="4472C4" w:themeColor="accent1"/>
          <w:sz w:val="18"/>
          <w:szCs w:val="18"/>
        </w:rPr>
        <w:instrText>ADDIN CSL_CITATION {"citationItems":[{"id":"ITEM-1","itemData":{"DOI":"10.3389/fnins.2016.00416","ISSN":"1662-453X","abstract":"Gilles de la Tourette Syndrome (GTS) is characterized by motor and vocal tics, as well as associated comorbid conditions including obsessive-compulsive disorder (OCD), attention deficit/hyperactivity disorder (ADHD), depression, and anxiety which are present in a substantial number of patients. Although randomized controlled trials including a large number of patients are still missing, aripiprazole is currently considered as a first choice drug for the treatment of tics. The aim of this study was to further investigate efficacy and safety of aripiprazole in a group of drug-free, adult patients. Specifically, we investigated the influence of aripiprazole on tic severity, comorbidities, premonitory urge (PU), and quality of life (QoL). Moreover we were interested in the factors that influence a patient’s decision in electing for-or against- pharmacological treatment. In this prospective uncontrolled open-label study, we included 44 patients and used a number of rating scales to assess tic severity, PU, comorbidities, and QoL at baseline and during treatment with aripiprazole. 18 out of 44 patients decided for undergoing treatment for their tics with aripiprazole and completed follow-up assessments after 4-6 weeks. Our major findings were (1) aripiprazole resulted in significant reduction of tics, but did not affect PU; (2) aripiprazole significantly improved OCD and showed a trend towards improvement of other comorbidities including depression, anxiety and ADHD; (3) neither severity of tics, nor PU or QoL influenced patients’ decisions for or against treatment of tics with aripiprazole; instead patients with comorbid OCD tended to decide in favor of, while patients with comorbid ADHD tended to decide against tic treatment; (4) most frequently reported adverse effects were sleeping problems; (5) patients’ QoL was mostly impaired by comorbid depression. Our results suggest that aripiprazole may improve associated comorbid conditions in addition to tics in patients with GTS. It can be hypothesized that these beneficial effects are related to aripiprazole’s adaptive pharmacological profile, which exhibits an influence on the dopaminergic as well as a number of other neurotransmitter systems. For the first time, our data provide evidence that patients’ decision making process for or against medical treatment is influenced by other factors than tic severity and QoL.","author":[{"dropping-particle":"","family":"Gerasch","given":"Sarah","non-dropping-particle":"","parse-names":false,"suffix":""},{"dropping-particle":"","family":"Kanaan","given":"Ahmad Seif","non-dropping-particle":"","parse-names":false,"suffix":""},{"dropping-particle":"","family":"Jakubovski","given":"Ewgeni","non-dropping-particle":"","parse-names":false,"suffix":""},{"dropping-particle":"","family":"Müller-Vahl","given":"Kirsten R","non-dropping-particle":"","parse-names":false,"suffix":""}],"container-title":"Frontiers in Neuroscience","id":"ITEM-1","issued":{"date-parts":[["2016"]]},"page":"416","title":"Aripiprazole Improves Associated Comorbid Conditions in Addition to Tics in Adult Patients with Gilles de la Tourette Syndrome","type":"article-journal","volume":"10"},"uris":["http://www.mendeley.com/documents/?uuid=9965b70b-0539-4a03-b689-f6acdf253535"]},{"id":"ITEM-2","itemData":{"DOI":"10.1093/brain/aww285","abstract":"Gilles de la Tourette syndrome is a hereditary, neuropsychiatric movement disorder with reported abnormalities in the neuro-transmission of dopamine and -aminobutyric acid (GABA). Spatially focalized alterations in excitatory, inhibitory and modula-tory neurochemical ratios within specific functional subdivisions of the basal ganglia, may lead to the expression of diverse motor and non-motor features as manifested in Gilles de la Tourette syndrome. Current treatment strategies are often unsatisfactory thus provoking the need for further elucidation of the underlying pathophysiology. In view of (i) the close spatio-temporal synergy exhibited between excitatory, inhibitory and modulatory neurotransmitter systems; (ii) the crucial role played by glutamate (Glu) in tonic/phasic dopaminergic signalling; and (iii) the interdependent metabolic relationship exhibited between Glu and GABA via glutamine (Gln); we postulated that glutamatergic signalling is related to the pathophysiology of Gilles de la Tourette syndrome. As such, we examined the neurochemical profile of three cortico-striato-thalamo-cortical regions in 37 well-characterized, drug-free adult patients and 36 age/gender-matched healthy control subjects via magnetic resonance spectroscopy at 3 T. To interrogate the influence of treatment on metabolite concentrations, spectral data were acquired from 15 patients undergoing a 4-week treatment with aripiprazole. Test-retest reliability measurements in 23 controls indicated high repeatability of voxel localization and metab-olite quantitation. We report significant reductions in striatal concentrations of Gln, Glu + Gln (Glx) and the Gln:Glu ratio, and thalamic concentrations of Glx in Gilles de la Tourette syndrome in comparison to controls. ON-treatment patients exhibited no significant metabolite differences when compared to controls but significant increases in striatal Glu and Glx, and trends for increases in striatal Gln and thalamic Glx compared to baseline measurements. Multiple regression analysis revealed a significant negative correlation between (i) striatal Gln and actual tic severity; and (ii) thalamic Glu and premonitory urges. Our results indicate that patients with Gilles de la Tourette syndrome exhibit an abnormality in the flux of metabolites in the GABA-Glu-Gln cycle, thus implying perturbations in astrocytic-neuronal coupling systems that maintain the subtle balance between excitatory and inhibitory neurotransmission within subcortic…","author":[{"dropping-particle":"","family":"Kanaan","given":"Ahmad Seif","non-dropping-particle":"","parse-names":false,"suffix":""},{"dropping-particle":"","family":"Gerasch","given":"Sarah","non-dropping-particle":"","parse-names":false,"suffix":""},{"dropping-particle":"","family":"García-García","given":"Isabel","non-dropping-particle":"","parse-names":false,"suffix":""},{"dropping-particle":"","family":"Lampe","given":"Leonie","non-dropping-particle":"","parse-names":false,"suffix":""},{"dropping-particle":"","family":"Pampel","given":"André","non-dropping-particle":"","parse-names":false,"suffix":""},{"dropping-particle":"","family":"Anwander","given":"Alfred","non-dropping-particle":"","parse-names":false,"suffix":""},{"dropping-particle":"","family":"Near","given":"Jamie","non-dropping-particle":"","parse-names":false,"suffix":""},{"dropping-particle":"","family":"Mö Ller","given":"Harald E","non-dropping-particle":"","parse-names":false,"suffix":""},{"dropping-particle":"","family":"Mü Ller-Vahl","given":"Kirsten","non-dropping-particle":"","parse-names":false,"suffix":""}],"container-title":"BRAIN","id":"ITEM-2","issued":{"date-parts":[["2017"]]},"page":"218-234","title":"Pathological glutamatergic neurotransmission in Gilles de la Tourette syndrome","type":"article-journal","volume":"140"},"uris":["http://www.mendeley.com/documents/?uuid=10ef1858-e03e-32de-b1de-964bfb4897a3"]}],"mendeley":{"formattedCitation":"(Gerasch et al. 2016; Kanaan et al. 2017)","plainTextFormattedCitation":"(Gerasch et al. 2016; Kanaan et al. 2017)","previouslyFormattedCitation":"(Gerasch et al. 2016; Kanaan et al. 2017)"},"properties":{"noteIndex":0},"schema":"https://github.com/citation-style-language/schema/raw/master/csl-citation.json"}</w:instrText>
      </w:r>
      <w:r w:rsidRPr="00BB1584">
        <w:rPr>
          <w:rFonts w:ascii="Times New Roman" w:hAnsi="Times New Roman" w:cs="Times New Roman"/>
          <w:color w:val="4472C4" w:themeColor="accent1"/>
          <w:sz w:val="18"/>
          <w:szCs w:val="18"/>
        </w:rPr>
        <w:fldChar w:fldCharType="separate"/>
      </w:r>
      <w:r w:rsidRPr="00BB1584">
        <w:rPr>
          <w:rFonts w:ascii="Times New Roman" w:hAnsi="Times New Roman" w:cs="Times New Roman"/>
          <w:noProof/>
          <w:color w:val="4472C4" w:themeColor="accent1"/>
          <w:sz w:val="18"/>
          <w:szCs w:val="18"/>
        </w:rPr>
        <w:t>(Gerasch et al. 2016; Kanaan et al. 2017)</w:t>
      </w:r>
      <w:r w:rsidRPr="00BB1584">
        <w:rPr>
          <w:rFonts w:ascii="Times New Roman" w:hAnsi="Times New Roman" w:cs="Times New Roman"/>
          <w:color w:val="4472C4" w:themeColor="accent1"/>
          <w:sz w:val="18"/>
          <w:szCs w:val="18"/>
        </w:rPr>
        <w:fldChar w:fldCharType="end"/>
      </w:r>
      <w:r w:rsidRPr="00BB1584">
        <w:rPr>
          <w:rFonts w:ascii="Times New Roman" w:hAnsi="Times New Roman" w:cs="Times New Roman"/>
          <w:color w:val="4472C4" w:themeColor="accent1"/>
          <w:sz w:val="18"/>
          <w:szCs w:val="18"/>
        </w:rPr>
        <w:t>. Fourteen patients were classified into the tics-only category, whereas the remaining patients exhibited additional OCB/D (</w:t>
      </w:r>
      <w:r w:rsidRPr="00BB1584">
        <w:rPr>
          <w:rFonts w:ascii="Times New Roman" w:hAnsi="Times New Roman" w:cs="Times New Roman"/>
          <w:i/>
          <w:color w:val="4472C4" w:themeColor="accent1"/>
          <w:sz w:val="18"/>
          <w:szCs w:val="18"/>
        </w:rPr>
        <w:t>N</w:t>
      </w:r>
      <w:r w:rsidRPr="00BB1584">
        <w:rPr>
          <w:rFonts w:ascii="Times New Roman" w:hAnsi="Times New Roman" w:cs="Times New Roman"/>
          <w:color w:val="4472C4" w:themeColor="accent1"/>
          <w:sz w:val="18"/>
          <w:szCs w:val="18"/>
        </w:rPr>
        <w:t>=3), ADHD (</w:t>
      </w:r>
      <w:r w:rsidRPr="00BB1584">
        <w:rPr>
          <w:rFonts w:ascii="Times New Roman" w:hAnsi="Times New Roman" w:cs="Times New Roman"/>
          <w:i/>
          <w:color w:val="4472C4" w:themeColor="accent1"/>
          <w:sz w:val="18"/>
          <w:szCs w:val="18"/>
        </w:rPr>
        <w:t>N</w:t>
      </w:r>
      <w:r w:rsidRPr="00BB1584">
        <w:rPr>
          <w:rFonts w:ascii="Times New Roman" w:hAnsi="Times New Roman" w:cs="Times New Roman"/>
          <w:color w:val="4472C4" w:themeColor="accent1"/>
          <w:sz w:val="18"/>
          <w:szCs w:val="18"/>
        </w:rPr>
        <w:t>=5), or the combination of both (</w:t>
      </w:r>
      <w:r w:rsidRPr="00BB1584">
        <w:rPr>
          <w:rFonts w:ascii="Times New Roman" w:hAnsi="Times New Roman" w:cs="Times New Roman"/>
          <w:i/>
          <w:color w:val="4472C4" w:themeColor="accent1"/>
          <w:sz w:val="18"/>
          <w:szCs w:val="18"/>
        </w:rPr>
        <w:t>N</w:t>
      </w:r>
      <w:r w:rsidRPr="00BB1584">
        <w:rPr>
          <w:rFonts w:ascii="Times New Roman" w:hAnsi="Times New Roman" w:cs="Times New Roman"/>
          <w:color w:val="4472C4" w:themeColor="accent1"/>
          <w:sz w:val="18"/>
          <w:szCs w:val="18"/>
        </w:rPr>
        <w:t xml:space="preserve">=1). Group comparisons of the clinical measures are summarized in Table 1. </w:t>
      </w:r>
    </w:p>
    <w:p w14:paraId="463C3962" w14:textId="77777777" w:rsidR="0093711E" w:rsidRPr="00BB1584" w:rsidRDefault="0093711E" w:rsidP="0093711E">
      <w:pPr>
        <w:jc w:val="both"/>
        <w:rPr>
          <w:b/>
          <w:bCs/>
          <w:i/>
          <w:iCs/>
          <w:color w:val="4472C4" w:themeColor="accent1"/>
          <w:sz w:val="18"/>
          <w:szCs w:val="18"/>
        </w:rPr>
      </w:pPr>
    </w:p>
    <w:p w14:paraId="0AE25741" w14:textId="23712243" w:rsidR="0093711E" w:rsidRPr="00BB1584" w:rsidRDefault="0093711E" w:rsidP="0093711E">
      <w:pPr>
        <w:jc w:val="both"/>
        <w:rPr>
          <w:rFonts w:ascii="Cambria" w:hAnsi="Cambria"/>
          <w:color w:val="4472C4" w:themeColor="accent1"/>
        </w:rPr>
      </w:pPr>
      <w:r w:rsidRPr="00BB1584">
        <w:rPr>
          <w:b/>
          <w:bCs/>
          <w:i/>
          <w:iCs/>
          <w:color w:val="4472C4" w:themeColor="accent1"/>
          <w:sz w:val="18"/>
          <w:szCs w:val="18"/>
        </w:rPr>
        <w:t>Differences in iron measures</w:t>
      </w:r>
    </w:p>
    <w:p w14:paraId="283A06FF" w14:textId="77777777" w:rsidR="0093711E" w:rsidRPr="00BB1584" w:rsidRDefault="0093711E" w:rsidP="0093711E">
      <w:pPr>
        <w:jc w:val="both"/>
        <w:rPr>
          <w:rFonts w:ascii="Cambria" w:hAnsi="Cambria"/>
          <w:color w:val="4472C4" w:themeColor="accent1"/>
        </w:rPr>
      </w:pPr>
      <w:r w:rsidRPr="00BB1584">
        <w:rPr>
          <w:color w:val="4472C4" w:themeColor="accent1"/>
          <w:sz w:val="18"/>
          <w:szCs w:val="18"/>
        </w:rPr>
        <w:t>Group comparison of </w:t>
      </w:r>
      <w:proofErr w:type="spellStart"/>
      <w:r w:rsidRPr="00BB1584">
        <w:rPr>
          <w:color w:val="4472C4" w:themeColor="accent1"/>
          <w:sz w:val="18"/>
          <w:szCs w:val="18"/>
        </w:rPr>
        <w:t>Δχ</w:t>
      </w:r>
      <w:proofErr w:type="spellEnd"/>
      <w:r w:rsidRPr="00BB1584">
        <w:rPr>
          <w:color w:val="4472C4" w:themeColor="accent1"/>
          <w:sz w:val="18"/>
          <w:szCs w:val="18"/>
        </w:rPr>
        <w:t> revealed significant reductions in bilateral brainstem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=184, </w:t>
      </w:r>
      <w:r w:rsidRPr="00BB1584">
        <w:rPr>
          <w:i/>
          <w:iCs/>
          <w:color w:val="4472C4" w:themeColor="accent1"/>
          <w:sz w:val="18"/>
          <w:szCs w:val="18"/>
        </w:rPr>
        <w:t>P</w:t>
      </w:r>
      <w:r w:rsidRPr="00BB1584">
        <w:rPr>
          <w:color w:val="4472C4" w:themeColor="accent1"/>
          <w:sz w:val="18"/>
          <w:szCs w:val="18"/>
        </w:rPr>
        <w:t>=0.01), basal ganglia (</w:t>
      </w:r>
      <w:r w:rsidRPr="00BB1584">
        <w:rPr>
          <w:i/>
          <w:iCs/>
          <w:color w:val="4472C4" w:themeColor="accent1"/>
          <w:sz w:val="18"/>
          <w:szCs w:val="18"/>
        </w:rPr>
        <w:t>U</w:t>
      </w:r>
      <w:r w:rsidRPr="00BB1584">
        <w:rPr>
          <w:color w:val="4472C4" w:themeColor="accent1"/>
          <w:sz w:val="18"/>
          <w:szCs w:val="18"/>
          <w:vertAlign w:val="subscript"/>
        </w:rPr>
        <w:t>42</w:t>
      </w:r>
      <w:r w:rsidRPr="00BB1584">
        <w:rPr>
          <w:color w:val="4472C4" w:themeColor="accent1"/>
          <w:sz w:val="18"/>
          <w:szCs w:val="18"/>
        </w:rPr>
        <w:t>=167, </w:t>
      </w:r>
      <w:r w:rsidRPr="00BB1584">
        <w:rPr>
          <w:i/>
          <w:iCs/>
          <w:color w:val="4472C4" w:themeColor="accent1"/>
          <w:sz w:val="18"/>
          <w:szCs w:val="18"/>
        </w:rPr>
        <w:t>P</w:t>
      </w:r>
      <w:r w:rsidRPr="00BB1584">
        <w:rPr>
          <w:color w:val="4472C4" w:themeColor="accent1"/>
          <w:sz w:val="18"/>
          <w:szCs w:val="18"/>
        </w:rPr>
        <w:t>=0.004) and the combination of all subcortical nuclei (</w:t>
      </w:r>
      <w:r w:rsidRPr="00BB1584">
        <w:rPr>
          <w:i/>
          <w:iCs/>
          <w:color w:val="4472C4" w:themeColor="accent1"/>
          <w:sz w:val="18"/>
          <w:szCs w:val="18"/>
        </w:rPr>
        <w:t>U</w:t>
      </w:r>
      <w:r w:rsidRPr="00BB1584">
        <w:rPr>
          <w:color w:val="4472C4" w:themeColor="accent1"/>
          <w:sz w:val="18"/>
          <w:szCs w:val="18"/>
          <w:vertAlign w:val="subscript"/>
        </w:rPr>
        <w:t>42</w:t>
      </w:r>
      <w:r w:rsidRPr="00BB1584">
        <w:rPr>
          <w:color w:val="4472C4" w:themeColor="accent1"/>
          <w:sz w:val="18"/>
          <w:szCs w:val="18"/>
        </w:rPr>
        <w:t>=172, </w:t>
      </w:r>
      <w:r w:rsidRPr="00BB1584">
        <w:rPr>
          <w:i/>
          <w:iCs/>
          <w:color w:val="4472C4" w:themeColor="accent1"/>
          <w:sz w:val="18"/>
          <w:szCs w:val="18"/>
        </w:rPr>
        <w:t>P</w:t>
      </w:r>
      <w:r w:rsidRPr="00BB1584">
        <w:rPr>
          <w:color w:val="4472C4" w:themeColor="accent1"/>
          <w:sz w:val="18"/>
          <w:szCs w:val="18"/>
        </w:rPr>
        <w:t>=0.005) in patients (Supplementary Information). These effects were mainly driven by reductions in the striatum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=180, </w:t>
      </w:r>
      <w:r w:rsidRPr="00BB1584">
        <w:rPr>
          <w:i/>
          <w:iCs/>
          <w:color w:val="4472C4" w:themeColor="accent1"/>
          <w:sz w:val="18"/>
          <w:szCs w:val="18"/>
        </w:rPr>
        <w:t>P</w:t>
      </w:r>
      <w:r w:rsidRPr="00BB1584">
        <w:rPr>
          <w:color w:val="4472C4" w:themeColor="accent1"/>
          <w:sz w:val="18"/>
          <w:szCs w:val="18"/>
        </w:rPr>
        <w:t>=0.009), pallidum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=197, </w:t>
      </w:r>
      <w:r w:rsidRPr="00BB1584">
        <w:rPr>
          <w:i/>
          <w:iCs/>
          <w:color w:val="4472C4" w:themeColor="accent1"/>
          <w:sz w:val="18"/>
          <w:szCs w:val="18"/>
        </w:rPr>
        <w:t>P</w:t>
      </w:r>
      <w:r w:rsidRPr="00BB1584">
        <w:rPr>
          <w:color w:val="4472C4" w:themeColor="accent1"/>
          <w:sz w:val="18"/>
          <w:szCs w:val="18"/>
        </w:rPr>
        <w:t>=0.021), STN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=159, </w:t>
      </w:r>
      <w:r w:rsidRPr="00BB1584">
        <w:rPr>
          <w:i/>
          <w:iCs/>
          <w:color w:val="4472C4" w:themeColor="accent1"/>
          <w:sz w:val="18"/>
          <w:szCs w:val="18"/>
        </w:rPr>
        <w:t>P</w:t>
      </w:r>
      <w:r w:rsidRPr="00BB1584">
        <w:rPr>
          <w:color w:val="4472C4" w:themeColor="accent1"/>
          <w:sz w:val="18"/>
          <w:szCs w:val="18"/>
        </w:rPr>
        <w:t>=0.0026), SN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=206, </w:t>
      </w:r>
      <w:r w:rsidRPr="00BB1584">
        <w:rPr>
          <w:i/>
          <w:iCs/>
          <w:color w:val="4472C4" w:themeColor="accent1"/>
          <w:sz w:val="18"/>
          <w:szCs w:val="18"/>
        </w:rPr>
        <w:t>P</w:t>
      </w:r>
      <w:r w:rsidRPr="00BB1584">
        <w:rPr>
          <w:color w:val="4472C4" w:themeColor="accent1"/>
          <w:sz w:val="18"/>
          <w:szCs w:val="18"/>
        </w:rPr>
        <w:t>=0.0032), DN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=191, </w:t>
      </w:r>
      <w:r w:rsidRPr="00BB1584">
        <w:rPr>
          <w:i/>
          <w:iCs/>
          <w:color w:val="4472C4" w:themeColor="accent1"/>
          <w:sz w:val="18"/>
          <w:szCs w:val="18"/>
        </w:rPr>
        <w:t>P</w:t>
      </w:r>
      <w:r w:rsidRPr="00BB1584">
        <w:rPr>
          <w:color w:val="4472C4" w:themeColor="accent1"/>
          <w:sz w:val="18"/>
          <w:szCs w:val="18"/>
        </w:rPr>
        <w:t>=0.016) and trends for reduction in the RN (</w:t>
      </w:r>
      <w:r w:rsidRPr="00BB1584">
        <w:rPr>
          <w:i/>
          <w:iCs/>
          <w:color w:val="4472C4" w:themeColor="accent1"/>
          <w:sz w:val="18"/>
          <w:szCs w:val="18"/>
        </w:rPr>
        <w:t>U</w:t>
      </w:r>
      <w:r w:rsidRPr="00BB1584">
        <w:rPr>
          <w:color w:val="4472C4" w:themeColor="accent1"/>
          <w:sz w:val="18"/>
          <w:szCs w:val="18"/>
          <w:vertAlign w:val="subscript"/>
        </w:rPr>
        <w:t>47</w:t>
      </w:r>
      <w:r w:rsidRPr="00BB1584">
        <w:rPr>
          <w:color w:val="4472C4" w:themeColor="accent1"/>
          <w:sz w:val="18"/>
          <w:szCs w:val="18"/>
        </w:rPr>
        <w:t>=232, </w:t>
      </w:r>
      <w:r w:rsidRPr="00BB1584">
        <w:rPr>
          <w:i/>
          <w:iCs/>
          <w:color w:val="4472C4" w:themeColor="accent1"/>
          <w:sz w:val="18"/>
          <w:szCs w:val="18"/>
        </w:rPr>
        <w:t>P</w:t>
      </w:r>
      <w:r w:rsidRPr="00BB1584">
        <w:rPr>
          <w:color w:val="4472C4" w:themeColor="accent1"/>
          <w:sz w:val="18"/>
          <w:szCs w:val="18"/>
        </w:rPr>
        <w:t>=0.091) (Fig. 1). Further inspection using FDR correction revealed the striatum, pallidum, STN, SN and DN (Cohen’s D effect sizes between 0.5 and 0.83 indicating practical significance). Comparison of serum ferritin levels in controls (196±151 ng/ml) and patients (89±49 ng/ml) revealed similar findings with significant reductions in GTS (</w:t>
      </w:r>
      <w:r w:rsidRPr="00BB1584">
        <w:rPr>
          <w:i/>
          <w:iCs/>
          <w:color w:val="4472C4" w:themeColor="accent1"/>
          <w:sz w:val="18"/>
          <w:szCs w:val="18"/>
        </w:rPr>
        <w:t>t</w:t>
      </w:r>
      <w:r w:rsidRPr="00BB1584">
        <w:rPr>
          <w:color w:val="4472C4" w:themeColor="accent1"/>
          <w:sz w:val="18"/>
          <w:szCs w:val="18"/>
          <w:vertAlign w:val="subscript"/>
        </w:rPr>
        <w:t>33</w:t>
      </w:r>
      <w:r w:rsidRPr="00BB1584">
        <w:rPr>
          <w:color w:val="4472C4" w:themeColor="accent1"/>
          <w:sz w:val="18"/>
          <w:szCs w:val="18"/>
        </w:rPr>
        <w:t>=2.84, </w:t>
      </w:r>
      <w:r w:rsidRPr="00BB1584">
        <w:rPr>
          <w:i/>
          <w:iCs/>
          <w:color w:val="4472C4" w:themeColor="accent1"/>
          <w:sz w:val="18"/>
          <w:szCs w:val="18"/>
        </w:rPr>
        <w:t>P</w:t>
      </w:r>
      <w:r w:rsidRPr="00BB1584">
        <w:rPr>
          <w:color w:val="4472C4" w:themeColor="accent1"/>
          <w:sz w:val="18"/>
          <w:szCs w:val="18"/>
        </w:rPr>
        <w:t>=0.0097). Multivariate linear regression revealed significant correlations between serum ferritin levels and susceptibility in the basal ganglia (</w:t>
      </w:r>
      <w:r w:rsidRPr="00BB1584">
        <w:rPr>
          <w:i/>
          <w:iCs/>
          <w:color w:val="4472C4" w:themeColor="accent1"/>
          <w:sz w:val="18"/>
          <w:szCs w:val="18"/>
        </w:rPr>
        <w:t>r</w:t>
      </w:r>
      <w:r w:rsidRPr="00BB1584">
        <w:rPr>
          <w:color w:val="4472C4" w:themeColor="accent1"/>
          <w:sz w:val="18"/>
          <w:szCs w:val="18"/>
        </w:rPr>
        <w:t>=0.55, </w:t>
      </w:r>
      <w:r w:rsidRPr="00BB1584">
        <w:rPr>
          <w:i/>
          <w:iCs/>
          <w:color w:val="4472C4" w:themeColor="accent1"/>
          <w:sz w:val="18"/>
          <w:szCs w:val="18"/>
        </w:rPr>
        <w:t>P</w:t>
      </w:r>
      <w:r w:rsidRPr="00BB1584">
        <w:rPr>
          <w:color w:val="4472C4" w:themeColor="accent1"/>
          <w:sz w:val="18"/>
          <w:szCs w:val="18"/>
        </w:rPr>
        <w:t>=0.03). This result was replicated in a larger independent sample (</w:t>
      </w:r>
      <w:r w:rsidRPr="00BB1584">
        <w:rPr>
          <w:i/>
          <w:iCs/>
          <w:color w:val="4472C4" w:themeColor="accent1"/>
          <w:sz w:val="18"/>
          <w:szCs w:val="18"/>
        </w:rPr>
        <w:t>N</w:t>
      </w:r>
      <w:r w:rsidRPr="00BB1584">
        <w:rPr>
          <w:color w:val="4472C4" w:themeColor="accent1"/>
          <w:sz w:val="18"/>
          <w:szCs w:val="18"/>
        </w:rPr>
        <w:t>=100) of healthy controls (</w:t>
      </w:r>
      <w:r w:rsidRPr="00BB1584">
        <w:rPr>
          <w:i/>
          <w:iCs/>
          <w:color w:val="4472C4" w:themeColor="accent1"/>
          <w:sz w:val="18"/>
          <w:szCs w:val="18"/>
        </w:rPr>
        <w:t>r</w:t>
      </w:r>
      <w:r w:rsidRPr="00BB1584">
        <w:rPr>
          <w:color w:val="4472C4" w:themeColor="accent1"/>
          <w:sz w:val="18"/>
          <w:szCs w:val="18"/>
        </w:rPr>
        <w:t>=0.5, </w:t>
      </w:r>
      <w:r w:rsidRPr="00BB1584">
        <w:rPr>
          <w:i/>
          <w:iCs/>
          <w:color w:val="4472C4" w:themeColor="accent1"/>
          <w:sz w:val="18"/>
          <w:szCs w:val="18"/>
        </w:rPr>
        <w:t>P</w:t>
      </w:r>
      <w:r w:rsidRPr="00BB1584">
        <w:rPr>
          <w:color w:val="4472C4" w:themeColor="accent1"/>
          <w:sz w:val="18"/>
          <w:szCs w:val="18"/>
        </w:rPr>
        <w:t>=5×10</w:t>
      </w:r>
      <w:r w:rsidRPr="00BB1584">
        <w:rPr>
          <w:color w:val="4472C4" w:themeColor="accent1"/>
          <w:sz w:val="18"/>
          <w:szCs w:val="18"/>
          <w:vertAlign w:val="superscript"/>
        </w:rPr>
        <w:t>−5</w:t>
      </w:r>
      <w:r w:rsidRPr="00BB1584">
        <w:rPr>
          <w:color w:val="4472C4" w:themeColor="accent1"/>
          <w:sz w:val="18"/>
          <w:szCs w:val="18"/>
        </w:rPr>
        <w:t>) acquired in a separate study (Babayan et al. 2019</w:t>
      </w:r>
      <w:proofErr w:type="gramStart"/>
      <w:r w:rsidRPr="00BB1584">
        <w:rPr>
          <w:color w:val="4472C4" w:themeColor="accent1"/>
          <w:sz w:val="18"/>
          <w:szCs w:val="18"/>
        </w:rPr>
        <w:t>)  (</w:t>
      </w:r>
      <w:proofErr w:type="gramEnd"/>
      <w:r w:rsidRPr="00BB1584">
        <w:rPr>
          <w:color w:val="4472C4" w:themeColor="accent1"/>
          <w:sz w:val="18"/>
          <w:szCs w:val="18"/>
        </w:rPr>
        <w:t>Fig. 2C).</w:t>
      </w:r>
    </w:p>
    <w:p w14:paraId="26410E20" w14:textId="77777777" w:rsidR="001631C5" w:rsidRPr="00BB1584" w:rsidRDefault="001631C5" w:rsidP="00686B37">
      <w:pPr>
        <w:autoSpaceDE w:val="0"/>
        <w:autoSpaceDN w:val="0"/>
        <w:adjustRightInd w:val="0"/>
        <w:jc w:val="both"/>
        <w:rPr>
          <w:b/>
          <w:i/>
          <w:color w:val="4472C4" w:themeColor="accent1"/>
          <w:sz w:val="18"/>
          <w:szCs w:val="18"/>
        </w:rPr>
      </w:pPr>
    </w:p>
    <w:p w14:paraId="4237EC5D" w14:textId="1F0BE446" w:rsidR="00686B37" w:rsidRPr="00BB1584" w:rsidRDefault="00686B37" w:rsidP="00686B37">
      <w:pPr>
        <w:autoSpaceDE w:val="0"/>
        <w:autoSpaceDN w:val="0"/>
        <w:adjustRightInd w:val="0"/>
        <w:jc w:val="both"/>
        <w:rPr>
          <w:b/>
          <w:i/>
          <w:color w:val="4472C4" w:themeColor="accent1"/>
          <w:sz w:val="18"/>
          <w:szCs w:val="18"/>
        </w:rPr>
      </w:pPr>
      <w:r w:rsidRPr="00BB1584">
        <w:rPr>
          <w:b/>
          <w:i/>
          <w:color w:val="4472C4" w:themeColor="accent1"/>
          <w:sz w:val="18"/>
          <w:szCs w:val="18"/>
        </w:rPr>
        <w:t>Association between iron measures and clinical scores</w:t>
      </w:r>
    </w:p>
    <w:p w14:paraId="76738D57" w14:textId="77777777" w:rsidR="00686B37" w:rsidRPr="00BB1584" w:rsidRDefault="00686B37" w:rsidP="00686B37">
      <w:pPr>
        <w:autoSpaceDE w:val="0"/>
        <w:autoSpaceDN w:val="0"/>
        <w:adjustRightInd w:val="0"/>
        <w:jc w:val="both"/>
        <w:rPr>
          <w:color w:val="4472C4" w:themeColor="accent1"/>
          <w:sz w:val="18"/>
          <w:szCs w:val="18"/>
        </w:rPr>
      </w:pPr>
      <w:r w:rsidRPr="00BB1584">
        <w:rPr>
          <w:color w:val="4472C4" w:themeColor="accent1"/>
          <w:sz w:val="18"/>
          <w:szCs w:val="18"/>
        </w:rPr>
        <w:t xml:space="preserve">To inspect correlations between surrogate measures of iron and clinical variables, the dimensionality of the clinical data was reduced via PCA, which yielded four PCs explaining 77% of the variance. Based on the weights of component loadings, the PCs were interpreted as representative scores of </w:t>
      </w:r>
      <w:r w:rsidRPr="00BB1584">
        <w:rPr>
          <w:i/>
          <w:color w:val="4472C4" w:themeColor="accent1"/>
          <w:sz w:val="18"/>
          <w:szCs w:val="18"/>
        </w:rPr>
        <w:t>(</w:t>
      </w:r>
      <w:proofErr w:type="spellStart"/>
      <w:r w:rsidRPr="00BB1584">
        <w:rPr>
          <w:i/>
          <w:color w:val="4472C4" w:themeColor="accent1"/>
          <w:sz w:val="18"/>
          <w:szCs w:val="18"/>
        </w:rPr>
        <w:t>i</w:t>
      </w:r>
      <w:proofErr w:type="spellEnd"/>
      <w:r w:rsidRPr="00BB1584">
        <w:rPr>
          <w:i/>
          <w:color w:val="4472C4" w:themeColor="accent1"/>
          <w:sz w:val="18"/>
          <w:szCs w:val="18"/>
        </w:rPr>
        <w:t>)</w:t>
      </w:r>
      <w:r w:rsidRPr="00BB1584">
        <w:rPr>
          <w:color w:val="4472C4" w:themeColor="accent1"/>
          <w:sz w:val="18"/>
          <w:szCs w:val="18"/>
        </w:rPr>
        <w:t xml:space="preserve"> depression/anxiety; </w:t>
      </w:r>
      <w:r w:rsidRPr="00BB1584">
        <w:rPr>
          <w:i/>
          <w:color w:val="4472C4" w:themeColor="accent1"/>
          <w:sz w:val="18"/>
          <w:szCs w:val="18"/>
        </w:rPr>
        <w:t>(ii)</w:t>
      </w:r>
      <w:r w:rsidRPr="00BB1584">
        <w:rPr>
          <w:color w:val="4472C4" w:themeColor="accent1"/>
          <w:sz w:val="18"/>
          <w:szCs w:val="18"/>
        </w:rPr>
        <w:t xml:space="preserve"> motor-tics, </w:t>
      </w:r>
      <w:r w:rsidRPr="00BB1584">
        <w:rPr>
          <w:i/>
          <w:color w:val="4472C4" w:themeColor="accent1"/>
          <w:sz w:val="18"/>
          <w:szCs w:val="18"/>
        </w:rPr>
        <w:t>(iii)</w:t>
      </w:r>
      <w:r w:rsidRPr="00BB1584">
        <w:rPr>
          <w:color w:val="4472C4" w:themeColor="accent1"/>
          <w:sz w:val="18"/>
          <w:szCs w:val="18"/>
        </w:rPr>
        <w:t xml:space="preserve"> obsessions/compulsions, </w:t>
      </w:r>
      <w:r w:rsidRPr="00BB1584">
        <w:rPr>
          <w:i/>
          <w:color w:val="4472C4" w:themeColor="accent1"/>
          <w:sz w:val="18"/>
          <w:szCs w:val="18"/>
        </w:rPr>
        <w:t>(iv)</w:t>
      </w:r>
      <w:r w:rsidRPr="00BB1584">
        <w:rPr>
          <w:color w:val="4472C4" w:themeColor="accent1"/>
          <w:sz w:val="18"/>
          <w:szCs w:val="18"/>
        </w:rPr>
        <w:t xml:space="preserve"> attention-deficits/hyperactivity (Fig. 3). Regression analysis between the motor-tic score and surrogate measures of iron revealed a trend with serum ferritin levels (</w:t>
      </w:r>
      <w:r w:rsidRPr="00BB1584">
        <w:rPr>
          <w:i/>
          <w:color w:val="4472C4" w:themeColor="accent1"/>
          <w:sz w:val="18"/>
          <w:szCs w:val="18"/>
        </w:rPr>
        <w:t>r</w:t>
      </w:r>
      <w:r w:rsidRPr="00BB1584">
        <w:rPr>
          <w:color w:val="4472C4" w:themeColor="accent1"/>
          <w:sz w:val="18"/>
          <w:szCs w:val="18"/>
        </w:rPr>
        <w:t xml:space="preserve">=0.51, </w:t>
      </w:r>
      <w:r w:rsidRPr="00BB1584">
        <w:rPr>
          <w:i/>
          <w:color w:val="4472C4" w:themeColor="accent1"/>
          <w:sz w:val="18"/>
          <w:szCs w:val="18"/>
        </w:rPr>
        <w:t>P</w:t>
      </w:r>
      <w:r w:rsidRPr="00BB1584">
        <w:rPr>
          <w:color w:val="4472C4" w:themeColor="accent1"/>
          <w:sz w:val="18"/>
          <w:szCs w:val="18"/>
        </w:rPr>
        <w:t>=0.091) and a significant negative association with striatal susceptibility (</w:t>
      </w:r>
      <w:r w:rsidRPr="00BB1584">
        <w:rPr>
          <w:i/>
          <w:color w:val="4472C4" w:themeColor="accent1"/>
          <w:sz w:val="18"/>
          <w:szCs w:val="18"/>
        </w:rPr>
        <w:t>r</w:t>
      </w:r>
      <w:r w:rsidRPr="00BB1584">
        <w:rPr>
          <w:color w:val="4472C4" w:themeColor="accent1"/>
          <w:sz w:val="18"/>
          <w:szCs w:val="18"/>
        </w:rPr>
        <w:t xml:space="preserve">=0.54, </w:t>
      </w:r>
      <w:r w:rsidRPr="00BB1584">
        <w:rPr>
          <w:i/>
          <w:color w:val="4472C4" w:themeColor="accent1"/>
          <w:sz w:val="18"/>
          <w:szCs w:val="18"/>
        </w:rPr>
        <w:t>P</w:t>
      </w:r>
      <w:r w:rsidRPr="00BB1584">
        <w:rPr>
          <w:color w:val="4472C4" w:themeColor="accent1"/>
          <w:sz w:val="18"/>
          <w:szCs w:val="18"/>
        </w:rPr>
        <w:t xml:space="preserve">=0.027) (Fig. 3D). All correlations exhibited an approximate variance inflation factor of 1.5 indicating little to no multi-collinearity between predictor variables. </w:t>
      </w:r>
    </w:p>
    <w:p w14:paraId="4A022F7A" w14:textId="3CE74336" w:rsidR="00686B37" w:rsidRPr="00BB1584" w:rsidRDefault="00686B37" w:rsidP="00686B37">
      <w:pPr>
        <w:autoSpaceDE w:val="0"/>
        <w:autoSpaceDN w:val="0"/>
        <w:adjustRightInd w:val="0"/>
        <w:jc w:val="both"/>
        <w:rPr>
          <w:color w:val="4472C4" w:themeColor="accent1"/>
          <w:sz w:val="18"/>
          <w:szCs w:val="18"/>
        </w:rPr>
      </w:pPr>
    </w:p>
    <w:p w14:paraId="3B8141D6" w14:textId="77777777" w:rsidR="00E76357" w:rsidRPr="00BB1584" w:rsidRDefault="00E76357" w:rsidP="00E76357">
      <w:pPr>
        <w:keepNext/>
        <w:rPr>
          <w:b/>
          <w:color w:val="4472C4" w:themeColor="accent1"/>
          <w:sz w:val="18"/>
          <w:szCs w:val="18"/>
        </w:rPr>
      </w:pPr>
      <w:r w:rsidRPr="00BB1584">
        <w:rPr>
          <w:b/>
          <w:i/>
          <w:color w:val="4472C4" w:themeColor="accent1"/>
          <w:sz w:val="18"/>
          <w:szCs w:val="18"/>
        </w:rPr>
        <w:t>GTS exhibits shared genetic heritability (hg2) with ferritin and transferrin</w:t>
      </w:r>
    </w:p>
    <w:p w14:paraId="2DE448E2" w14:textId="77777777" w:rsidR="00BB1584" w:rsidRPr="00BB1584" w:rsidRDefault="00BB1584" w:rsidP="00BB1584">
      <w:pPr>
        <w:rPr>
          <w:color w:val="4472C4" w:themeColor="accent1"/>
          <w:sz w:val="20"/>
          <w:szCs w:val="20"/>
        </w:rPr>
      </w:pPr>
      <w:r w:rsidRPr="00BB1584">
        <w:rPr>
          <w:color w:val="4472C4" w:themeColor="accent1"/>
          <w:sz w:val="20"/>
          <w:szCs w:val="20"/>
        </w:rPr>
        <w:t>In order to investigate whether the observed inverse (linear) relationship between serum ferritin levels and tic severity is indicative of shared pathophysiology, we tested whether TS and iron-related traits have overlapping genetic risk by evaluating the genetic correlation between GWAS summary statistics of ferritin, transferrin, and TS using LDSC regression (</w:t>
      </w:r>
      <w:proofErr w:type="spellStart"/>
      <w:r w:rsidRPr="00BB1584">
        <w:rPr>
          <w:color w:val="4472C4" w:themeColor="accent1"/>
          <w:sz w:val="20"/>
          <w:szCs w:val="20"/>
        </w:rPr>
        <w:t>Bulik</w:t>
      </w:r>
      <w:proofErr w:type="spellEnd"/>
      <w:r w:rsidRPr="00BB1584">
        <w:rPr>
          <w:color w:val="4472C4" w:themeColor="accent1"/>
          <w:sz w:val="20"/>
          <w:szCs w:val="20"/>
        </w:rPr>
        <w:t>-Sullivan et al., 2015).  We found a significant negative genetic correlation between ferritin and TS (</w:t>
      </w:r>
      <w:proofErr w:type="spellStart"/>
      <w:r w:rsidRPr="00BB1584">
        <w:rPr>
          <w:color w:val="4472C4" w:themeColor="accent1"/>
          <w:sz w:val="20"/>
          <w:szCs w:val="20"/>
        </w:rPr>
        <w:t>r</w:t>
      </w:r>
      <w:r w:rsidRPr="00BB1584">
        <w:rPr>
          <w:color w:val="4472C4" w:themeColor="accent1"/>
          <w:sz w:val="20"/>
          <w:szCs w:val="20"/>
          <w:vertAlign w:val="subscript"/>
        </w:rPr>
        <w:t>g</w:t>
      </w:r>
      <w:proofErr w:type="spellEnd"/>
      <w:r w:rsidRPr="00BB1584">
        <w:rPr>
          <w:color w:val="4472C4" w:themeColor="accent1"/>
          <w:sz w:val="20"/>
          <w:szCs w:val="20"/>
        </w:rPr>
        <w:t xml:space="preserve"> = -0.34; SE = 0.13; P = 0.0087), indicating that shared genetic variants contribute both to increased TS risk and decreased ferritin levels.  A similar genetic correlation between higher TS risk and higher transferrin levels (</w:t>
      </w:r>
      <w:proofErr w:type="spellStart"/>
      <w:r w:rsidRPr="00BB1584">
        <w:rPr>
          <w:color w:val="4472C4" w:themeColor="accent1"/>
          <w:sz w:val="20"/>
          <w:szCs w:val="20"/>
        </w:rPr>
        <w:t>r</w:t>
      </w:r>
      <w:r w:rsidRPr="00BB1584">
        <w:rPr>
          <w:color w:val="4472C4" w:themeColor="accent1"/>
          <w:sz w:val="20"/>
          <w:szCs w:val="20"/>
          <w:vertAlign w:val="subscript"/>
        </w:rPr>
        <w:t>g</w:t>
      </w:r>
      <w:proofErr w:type="spellEnd"/>
      <w:r w:rsidRPr="00BB1584">
        <w:rPr>
          <w:color w:val="4472C4" w:themeColor="accent1"/>
          <w:sz w:val="20"/>
          <w:szCs w:val="20"/>
        </w:rPr>
        <w:t xml:space="preserve"> = 0.28; SE = 0.13; P = 0.036), though the finding did not surpass a Bonferroni correction threshold (P = 0.025). </w:t>
      </w:r>
    </w:p>
    <w:p w14:paraId="0F0A42B1" w14:textId="77777777" w:rsidR="00E76357" w:rsidRPr="00BB1584" w:rsidRDefault="00E76357" w:rsidP="00686B37">
      <w:pPr>
        <w:autoSpaceDE w:val="0"/>
        <w:autoSpaceDN w:val="0"/>
        <w:adjustRightInd w:val="0"/>
        <w:jc w:val="both"/>
        <w:rPr>
          <w:color w:val="4472C4" w:themeColor="accent1"/>
          <w:sz w:val="18"/>
          <w:szCs w:val="18"/>
        </w:rPr>
      </w:pPr>
    </w:p>
    <w:p w14:paraId="5D6AFC7B" w14:textId="77777777" w:rsidR="00686B37" w:rsidRPr="00BB1584" w:rsidRDefault="00686B37" w:rsidP="00686B37">
      <w:pPr>
        <w:autoSpaceDE w:val="0"/>
        <w:autoSpaceDN w:val="0"/>
        <w:adjustRightInd w:val="0"/>
        <w:jc w:val="both"/>
        <w:rPr>
          <w:color w:val="4472C4" w:themeColor="accent1"/>
          <w:sz w:val="18"/>
          <w:szCs w:val="18"/>
        </w:rPr>
      </w:pPr>
    </w:p>
    <w:p w14:paraId="5B7F595F" w14:textId="294EC933" w:rsidR="00622938" w:rsidRPr="00BB1584" w:rsidRDefault="00622938" w:rsidP="00622938">
      <w:pPr>
        <w:keepNext/>
        <w:rPr>
          <w:b/>
          <w:color w:val="4472C4" w:themeColor="accent1"/>
          <w:sz w:val="18"/>
          <w:szCs w:val="18"/>
        </w:rPr>
      </w:pPr>
      <w:r w:rsidRPr="00BB1584">
        <w:rPr>
          <w:b/>
          <w:i/>
          <w:color w:val="4472C4" w:themeColor="accent1"/>
          <w:sz w:val="18"/>
          <w:szCs w:val="18"/>
        </w:rPr>
        <w:t>Association between susceptibility differences and iron-related gene expression</w:t>
      </w:r>
      <w:r w:rsidR="00E76357" w:rsidRPr="00BB1584">
        <w:rPr>
          <w:b/>
          <w:i/>
          <w:color w:val="4472C4" w:themeColor="accent1"/>
          <w:sz w:val="18"/>
          <w:szCs w:val="18"/>
        </w:rPr>
        <w:t xml:space="preserve"> </w:t>
      </w:r>
    </w:p>
    <w:p w14:paraId="2AAC6017" w14:textId="354F6E8C" w:rsidR="0094412E" w:rsidRPr="0028422F" w:rsidRDefault="00622938" w:rsidP="0028422F">
      <w:pPr>
        <w:autoSpaceDE w:val="0"/>
        <w:autoSpaceDN w:val="0"/>
        <w:adjustRightInd w:val="0"/>
        <w:jc w:val="both"/>
        <w:rPr>
          <w:color w:val="4472C4" w:themeColor="accent1"/>
          <w:sz w:val="18"/>
          <w:szCs w:val="18"/>
        </w:rPr>
      </w:pPr>
      <w:r w:rsidRPr="00BB1584">
        <w:rPr>
          <w:color w:val="4472C4" w:themeColor="accent1"/>
          <w:sz w:val="18"/>
          <w:szCs w:val="18"/>
        </w:rPr>
        <w:t xml:space="preserve">Driven by these results, iron-related gene expression profiles were extracted within three functionally distinct sub-territories of the striatum (motor, associative, limbic) and cross-correlated with statistical maps of </w:t>
      </w:r>
      <w:proofErr w:type="spellStart"/>
      <w:r w:rsidRPr="00BB1584">
        <w:rPr>
          <w:bCs/>
          <w:color w:val="4472C4" w:themeColor="accent1"/>
          <w:sz w:val="18"/>
          <w:szCs w:val="18"/>
        </w:rPr>
        <w:t>Δχ</w:t>
      </w:r>
      <w:proofErr w:type="spellEnd"/>
      <w:r w:rsidRPr="00BB1584" w:rsidDel="00E52FB8">
        <w:rPr>
          <w:color w:val="4472C4" w:themeColor="accent1"/>
          <w:sz w:val="18"/>
          <w:szCs w:val="18"/>
        </w:rPr>
        <w:t xml:space="preserve"> </w:t>
      </w:r>
      <w:r w:rsidRPr="00BB1584">
        <w:rPr>
          <w:color w:val="4472C4" w:themeColor="accent1"/>
          <w:sz w:val="18"/>
          <w:szCs w:val="18"/>
        </w:rPr>
        <w:t xml:space="preserve">reductions at the same coordinates (Fig. 4). Permutation-based inference revealed significant positive associations between striatal-motor susceptibility and the PCs of iron-related gene sets (Fig. 5). Inspection of associations between the mean expression profile of the gene sets and </w:t>
      </w:r>
      <w:proofErr w:type="spellStart"/>
      <w:r w:rsidRPr="00BB1584">
        <w:rPr>
          <w:bCs/>
          <w:color w:val="4472C4" w:themeColor="accent1"/>
          <w:sz w:val="18"/>
          <w:szCs w:val="18"/>
        </w:rPr>
        <w:t>Δχ</w:t>
      </w:r>
      <w:proofErr w:type="spellEnd"/>
      <w:r w:rsidRPr="00BB1584" w:rsidDel="00E52FB8">
        <w:rPr>
          <w:color w:val="4472C4" w:themeColor="accent1"/>
          <w:sz w:val="18"/>
          <w:szCs w:val="18"/>
        </w:rPr>
        <w:t xml:space="preserve"> </w:t>
      </w:r>
      <w:r w:rsidRPr="00BB1584">
        <w:rPr>
          <w:color w:val="4472C4" w:themeColor="accent1"/>
          <w:sz w:val="18"/>
          <w:szCs w:val="18"/>
        </w:rPr>
        <w:t xml:space="preserve">statistical values revealed similar findings (Fig. 5). </w:t>
      </w:r>
    </w:p>
    <w:p w14:paraId="3C57902D" w14:textId="7CA79A74" w:rsidR="0094412E" w:rsidRPr="0093711E" w:rsidRDefault="00680179" w:rsidP="0094412E">
      <w:pPr>
        <w:spacing w:before="100" w:beforeAutospacing="1" w:after="100" w:afterAutospacing="1"/>
        <w:rPr>
          <w:b/>
          <w:bCs/>
          <w:color w:val="222222"/>
          <w:sz w:val="22"/>
          <w:szCs w:val="22"/>
        </w:rPr>
      </w:pPr>
      <w:r w:rsidRPr="0093711E">
        <w:rPr>
          <w:rFonts w:ascii="Calibri" w:hAnsi="Calibri" w:cs="Calibri"/>
          <w:b/>
          <w:bCs/>
          <w:color w:val="222222"/>
          <w:sz w:val="22"/>
          <w:szCs w:val="22"/>
        </w:rPr>
        <w:lastRenderedPageBreak/>
        <w:t>﻿</w:t>
      </w:r>
      <w:r w:rsidRPr="0093711E">
        <w:rPr>
          <w:b/>
          <w:bCs/>
          <w:color w:val="222222"/>
          <w:sz w:val="22"/>
          <w:szCs w:val="22"/>
        </w:rPr>
        <w:t xml:space="preserve">Gene Expression </w:t>
      </w:r>
      <w:r w:rsidR="008E4425" w:rsidRPr="0093711E">
        <w:rPr>
          <w:b/>
          <w:bCs/>
          <w:color w:val="222222"/>
          <w:sz w:val="22"/>
          <w:szCs w:val="22"/>
        </w:rPr>
        <w:t>associated with</w:t>
      </w:r>
      <w:r w:rsidRPr="0093711E">
        <w:rPr>
          <w:b/>
          <w:bCs/>
          <w:color w:val="222222"/>
          <w:sz w:val="22"/>
          <w:szCs w:val="22"/>
        </w:rPr>
        <w:t xml:space="preserve"> </w:t>
      </w:r>
      <w:r w:rsidR="008E4425" w:rsidRPr="0093711E">
        <w:rPr>
          <w:b/>
          <w:bCs/>
          <w:color w:val="222222"/>
          <w:sz w:val="22"/>
          <w:szCs w:val="22"/>
        </w:rPr>
        <w:t>Magnetic Susceptibility</w:t>
      </w:r>
    </w:p>
    <w:p w14:paraId="0F6ACD92" w14:textId="633B49EB" w:rsidR="0094412E" w:rsidRPr="00BD00A6" w:rsidRDefault="0094412E" w:rsidP="00BD00A6">
      <w:pPr>
        <w:spacing w:before="100" w:beforeAutospacing="1" w:after="100" w:afterAutospacing="1"/>
        <w:jc w:val="both"/>
        <w:rPr>
          <w:color w:val="FF0000"/>
          <w:sz w:val="18"/>
          <w:szCs w:val="18"/>
        </w:rPr>
      </w:pPr>
      <w:r w:rsidRPr="0094412E">
        <w:rPr>
          <w:rFonts w:ascii="Calibri" w:hAnsi="Calibri" w:cs="Calibri"/>
          <w:color w:val="222222"/>
          <w:sz w:val="22"/>
          <w:szCs w:val="22"/>
        </w:rPr>
        <w:t>﻿</w:t>
      </w:r>
      <w:r w:rsidRPr="00BD00A6">
        <w:rPr>
          <w:rFonts w:ascii="Calibri" w:hAnsi="Calibri" w:cs="Calibri"/>
          <w:color w:val="FF0000"/>
          <w:sz w:val="18"/>
          <w:szCs w:val="18"/>
        </w:rPr>
        <w:t xml:space="preserve">MORGAN: </w:t>
      </w:r>
      <w:r w:rsidRPr="00BD00A6">
        <w:rPr>
          <w:color w:val="FF0000"/>
          <w:sz w:val="18"/>
          <w:szCs w:val="18"/>
        </w:rPr>
        <w:t xml:space="preserve">Gene Expression Related to Morphometric Similarity. We used PLS regression to identify patterns of gene expression that were </w:t>
      </w:r>
      <w:proofErr w:type="spellStart"/>
      <w:r w:rsidRPr="00BD00A6">
        <w:rPr>
          <w:color w:val="FF0000"/>
          <w:sz w:val="18"/>
          <w:szCs w:val="18"/>
        </w:rPr>
        <w:t>cor</w:t>
      </w:r>
      <w:proofErr w:type="spellEnd"/>
      <w:r w:rsidRPr="00BD00A6">
        <w:rPr>
          <w:color w:val="FF0000"/>
          <w:sz w:val="18"/>
          <w:szCs w:val="18"/>
        </w:rPr>
        <w:t xml:space="preserve">- related with the anatomical distribution of case–control morpho- metric similarity differences. The first PLS component explained 13% of the variance in the case–control morphometric similarity differences combining data from all three studies, significantly more than expected by chance (permutation test, P&lt;0.001). PLS1 gene expression weights were positively correlated with case–control morphometric similarity differences in the Dublin study (r =0.49, P&lt;0.001) and the </w:t>
      </w:r>
      <w:proofErr w:type="spellStart"/>
      <w:r w:rsidRPr="00BD00A6">
        <w:rPr>
          <w:color w:val="FF0000"/>
          <w:sz w:val="18"/>
          <w:szCs w:val="18"/>
        </w:rPr>
        <w:t>Cobre</w:t>
      </w:r>
      <w:proofErr w:type="spellEnd"/>
      <w:r w:rsidRPr="00BD00A6">
        <w:rPr>
          <w:color w:val="FF0000"/>
          <w:sz w:val="18"/>
          <w:szCs w:val="18"/>
        </w:rPr>
        <w:t xml:space="preserve"> study (r =0.37, P&lt; 0.001) (Fig. 2A) but not in the Maastricht study (r =0.006, P=0.94). These positive correlations mean that genes positively weighted on PLS1 are overexpressed in regions where </w:t>
      </w:r>
      <w:proofErr w:type="spellStart"/>
      <w:r w:rsidRPr="00BD00A6">
        <w:rPr>
          <w:color w:val="FF0000"/>
          <w:sz w:val="18"/>
          <w:szCs w:val="18"/>
        </w:rPr>
        <w:t>mor</w:t>
      </w:r>
      <w:proofErr w:type="spellEnd"/>
      <w:r w:rsidRPr="00BD00A6">
        <w:rPr>
          <w:color w:val="FF0000"/>
          <w:sz w:val="18"/>
          <w:szCs w:val="18"/>
        </w:rPr>
        <w:t xml:space="preserve">- </w:t>
      </w:r>
      <w:proofErr w:type="spellStart"/>
      <w:r w:rsidRPr="00BD00A6">
        <w:rPr>
          <w:color w:val="FF0000"/>
          <w:sz w:val="18"/>
          <w:szCs w:val="18"/>
        </w:rPr>
        <w:t>phometric</w:t>
      </w:r>
      <w:proofErr w:type="spellEnd"/>
      <w:r w:rsidRPr="00BD00A6">
        <w:rPr>
          <w:color w:val="FF0000"/>
          <w:sz w:val="18"/>
          <w:szCs w:val="18"/>
        </w:rPr>
        <w:t xml:space="preserve"> similarity was increased in patients, while negatively weighted genes are overexpressed in regions where </w:t>
      </w:r>
      <w:proofErr w:type="spellStart"/>
      <w:r w:rsidRPr="00BD00A6">
        <w:rPr>
          <w:color w:val="FF0000"/>
          <w:sz w:val="18"/>
          <w:szCs w:val="18"/>
        </w:rPr>
        <w:t>morphome</w:t>
      </w:r>
      <w:proofErr w:type="spellEnd"/>
      <w:r w:rsidRPr="00BD00A6">
        <w:rPr>
          <w:color w:val="FF0000"/>
          <w:sz w:val="18"/>
          <w:szCs w:val="18"/>
        </w:rPr>
        <w:t xml:space="preserve">- </w:t>
      </w:r>
      <w:proofErr w:type="spellStart"/>
      <w:r w:rsidRPr="00BD00A6">
        <w:rPr>
          <w:color w:val="FF0000"/>
          <w:sz w:val="18"/>
          <w:szCs w:val="18"/>
        </w:rPr>
        <w:t>tric</w:t>
      </w:r>
      <w:proofErr w:type="spellEnd"/>
      <w:r w:rsidRPr="00BD00A6">
        <w:rPr>
          <w:color w:val="FF0000"/>
          <w:sz w:val="18"/>
          <w:szCs w:val="18"/>
        </w:rPr>
        <w:t xml:space="preserve"> similarity was decreased in patients (Fig. 2D). Hence, genes that are positively (or negatively) weighted on PLS1 were related to increased (or decreased) morphometric similarity in cases compared with controls.</w:t>
      </w:r>
    </w:p>
    <w:p w14:paraId="4147B516" w14:textId="5869D676" w:rsidR="0094412E" w:rsidRPr="00D176AE" w:rsidRDefault="0094412E" w:rsidP="00D176AE">
      <w:pPr>
        <w:spacing w:before="100" w:beforeAutospacing="1" w:after="100" w:afterAutospacing="1"/>
        <w:jc w:val="both"/>
        <w:rPr>
          <w:color w:val="FF0000"/>
          <w:sz w:val="18"/>
          <w:szCs w:val="18"/>
        </w:rPr>
      </w:pPr>
      <w:r w:rsidRPr="00BD00A6">
        <w:rPr>
          <w:color w:val="FF0000"/>
          <w:sz w:val="18"/>
          <w:szCs w:val="18"/>
        </w:rPr>
        <w:t>WHITAKER:</w:t>
      </w:r>
      <w:r w:rsidR="00BD00A6" w:rsidRPr="00BD00A6">
        <w:rPr>
          <w:color w:val="FF0000"/>
          <w:sz w:val="18"/>
          <w:szCs w:val="18"/>
        </w:rPr>
        <w:t xml:space="preserve"> </w:t>
      </w:r>
      <w:r w:rsidRPr="00BD00A6">
        <w:rPr>
          <w:color w:val="FF0000"/>
          <w:sz w:val="18"/>
          <w:szCs w:val="18"/>
        </w:rPr>
        <w:t>The top two PLS components explained 28% of the variance in</w:t>
      </w:r>
      <w:r w:rsidRPr="00BD00A6">
        <w:rPr>
          <w:color w:val="FF0000"/>
          <w:sz w:val="18"/>
          <w:szCs w:val="18"/>
        </w:rPr>
        <w:t xml:space="preserve"> </w:t>
      </w:r>
      <w:r w:rsidRPr="00BD00A6">
        <w:rPr>
          <w:color w:val="FF0000"/>
          <w:sz w:val="18"/>
          <w:szCs w:val="18"/>
        </w:rPr>
        <w:t xml:space="preserve">the MRI response variables (permutation test; P &lt; 0.001). The first partial least squares component (PLS1) (Fig. 3A) represented a significant association between a </w:t>
      </w:r>
      <w:proofErr w:type="spellStart"/>
      <w:r w:rsidRPr="00BD00A6">
        <w:rPr>
          <w:color w:val="FF0000"/>
          <w:sz w:val="18"/>
          <w:szCs w:val="18"/>
        </w:rPr>
        <w:t>rostrocaudally</w:t>
      </w:r>
      <w:proofErr w:type="spellEnd"/>
      <w:r w:rsidRPr="00BD00A6">
        <w:rPr>
          <w:color w:val="FF0000"/>
          <w:sz w:val="18"/>
          <w:szCs w:val="18"/>
        </w:rPr>
        <w:t xml:space="preserve"> patterned gen</w:t>
      </w:r>
      <w:r w:rsidRPr="00BD00A6">
        <w:rPr>
          <w:color w:val="FF0000"/>
          <w:sz w:val="18"/>
          <w:szCs w:val="18"/>
        </w:rPr>
        <w:t xml:space="preserve">e </w:t>
      </w:r>
      <w:r w:rsidRPr="00BD00A6">
        <w:rPr>
          <w:color w:val="FF0000"/>
          <w:sz w:val="18"/>
          <w:szCs w:val="18"/>
        </w:rPr>
        <w:t>expression</w:t>
      </w:r>
      <w:r w:rsidRPr="00BD00A6">
        <w:rPr>
          <w:color w:val="FF0000"/>
          <w:sz w:val="20"/>
          <w:szCs w:val="20"/>
        </w:rPr>
        <w:t xml:space="preserve"> </w:t>
      </w:r>
      <w:r w:rsidRPr="00BD00A6">
        <w:rPr>
          <w:rFonts w:ascii="Calibri" w:hAnsi="Calibri" w:cs="Calibri"/>
          <w:color w:val="FF0000"/>
          <w:sz w:val="18"/>
          <w:szCs w:val="18"/>
        </w:rPr>
        <w:t>﻿</w:t>
      </w:r>
      <w:r w:rsidRPr="00BD00A6">
        <w:rPr>
          <w:color w:val="FF0000"/>
          <w:sz w:val="18"/>
          <w:szCs w:val="18"/>
        </w:rPr>
        <w:t xml:space="preserve">expression profile and baseline measures of CT and MT at 14 y old (Fig. 3 B and C and SI </w:t>
      </w:r>
      <w:proofErr w:type="gramStart"/>
      <w:r w:rsidRPr="00BD00A6">
        <w:rPr>
          <w:color w:val="FF0000"/>
          <w:sz w:val="18"/>
          <w:szCs w:val="18"/>
        </w:rPr>
        <w:t>Appendix,Fig.S</w:t>
      </w:r>
      <w:proofErr w:type="gramEnd"/>
      <w:r w:rsidRPr="00BD00A6">
        <w:rPr>
          <w:color w:val="FF0000"/>
          <w:sz w:val="18"/>
          <w:szCs w:val="18"/>
        </w:rPr>
        <w:t xml:space="preserve">5). The second independent partial least squares component (PLS2) (Fig. 3D) represented a significant association between a dorsoventrally patterned gene expression profile and measures of adolescent cortical shrinkage and myelination (Fig. 3 E and F). Dataset S1 has a full list of </w:t>
      </w:r>
      <w:proofErr w:type="gramStart"/>
      <w:r w:rsidRPr="00BD00A6">
        <w:rPr>
          <w:color w:val="FF0000"/>
          <w:sz w:val="18"/>
          <w:szCs w:val="18"/>
        </w:rPr>
        <w:t>sig</w:t>
      </w:r>
      <w:proofErr w:type="gramEnd"/>
      <w:r w:rsidRPr="00BD00A6">
        <w:rPr>
          <w:color w:val="FF0000"/>
          <w:sz w:val="18"/>
          <w:szCs w:val="18"/>
        </w:rPr>
        <w:t xml:space="preserve">- </w:t>
      </w:r>
      <w:proofErr w:type="spellStart"/>
      <w:r w:rsidRPr="00BD00A6">
        <w:rPr>
          <w:color w:val="FF0000"/>
          <w:sz w:val="18"/>
          <w:szCs w:val="18"/>
        </w:rPr>
        <w:t>nificantly</w:t>
      </w:r>
      <w:proofErr w:type="spellEnd"/>
      <w:r w:rsidRPr="00BD00A6">
        <w:rPr>
          <w:color w:val="FF0000"/>
          <w:sz w:val="18"/>
          <w:szCs w:val="18"/>
        </w:rPr>
        <w:t xml:space="preserve"> over- or </w:t>
      </w:r>
      <w:proofErr w:type="spellStart"/>
      <w:r w:rsidRPr="00BD00A6">
        <w:rPr>
          <w:color w:val="FF0000"/>
          <w:sz w:val="18"/>
          <w:szCs w:val="18"/>
        </w:rPr>
        <w:t>underexpressed</w:t>
      </w:r>
      <w:proofErr w:type="spellEnd"/>
      <w:r w:rsidRPr="00BD00A6">
        <w:rPr>
          <w:color w:val="FF0000"/>
          <w:sz w:val="18"/>
          <w:szCs w:val="18"/>
        </w:rPr>
        <w:t xml:space="preserve"> genes represented by the first two PLS components. Focusing on the gene expression profile defined by PLS2, because it was specifically associated with adolescent cortical shrink- age and intracortical myelination, we found that this transcriptional signature was significantly enriched in genes relating to synaptic transmission (P &lt; 0.001), regulation of glutamatergic signaling (P &lt; 0.001), and potassium ion channels (P &lt; 0.001) (36) (SI Appendix, Fig. S3G). We also found that the transcriptional profile associated with association cortical consolidation was significantly enriched for an </w:t>
      </w:r>
      <w:proofErr w:type="spellStart"/>
      <w:r w:rsidRPr="00BD00A6">
        <w:rPr>
          <w:color w:val="FF0000"/>
          <w:sz w:val="18"/>
          <w:szCs w:val="18"/>
        </w:rPr>
        <w:t>oligodendroglial</w:t>
      </w:r>
      <w:proofErr w:type="spellEnd"/>
      <w:r w:rsidRPr="00BD00A6">
        <w:rPr>
          <w:color w:val="FF0000"/>
          <w:sz w:val="18"/>
          <w:szCs w:val="18"/>
        </w:rPr>
        <w:t xml:space="preserve"> gene set (P &lt; 0.001) (37) (SI </w:t>
      </w:r>
      <w:proofErr w:type="spellStart"/>
      <w:r w:rsidRPr="00BD00A6">
        <w:rPr>
          <w:color w:val="FF0000"/>
          <w:sz w:val="18"/>
          <w:szCs w:val="18"/>
        </w:rPr>
        <w:t>Appendix,Fig</w:t>
      </w:r>
      <w:proofErr w:type="spellEnd"/>
      <w:r w:rsidRPr="00BD00A6">
        <w:rPr>
          <w:color w:val="FF0000"/>
          <w:sz w:val="18"/>
          <w:szCs w:val="18"/>
        </w:rPr>
        <w:t xml:space="preserve">. S3F) as well as a set of genes robustly associated with risk for schizophrenia, a neurodevelopmental disorder (P &lt; 0.001) (38) (SI </w:t>
      </w:r>
      <w:proofErr w:type="spellStart"/>
      <w:r w:rsidRPr="00BD00A6">
        <w:rPr>
          <w:color w:val="FF0000"/>
          <w:sz w:val="18"/>
          <w:szCs w:val="18"/>
        </w:rPr>
        <w:t>Appendix,Fig</w:t>
      </w:r>
      <w:proofErr w:type="spellEnd"/>
      <w:r w:rsidRPr="00BD00A6">
        <w:rPr>
          <w:color w:val="FF0000"/>
          <w:sz w:val="18"/>
          <w:szCs w:val="18"/>
        </w:rPr>
        <w:t>. S3G).</w:t>
      </w:r>
    </w:p>
    <w:p w14:paraId="7F8056C3" w14:textId="29F1797A" w:rsidR="0094412E" w:rsidRDefault="0094412E" w:rsidP="0094412E">
      <w:pPr>
        <w:spacing w:before="100" w:beforeAutospacing="1" w:after="100" w:afterAutospacing="1"/>
        <w:rPr>
          <w:b/>
          <w:bCs/>
          <w:color w:val="222222"/>
          <w:sz w:val="22"/>
          <w:szCs w:val="22"/>
        </w:rPr>
      </w:pPr>
      <w:r w:rsidRPr="0094412E">
        <w:rPr>
          <w:b/>
          <w:bCs/>
          <w:color w:val="222222"/>
          <w:sz w:val="22"/>
          <w:szCs w:val="22"/>
        </w:rPr>
        <w:t>PLS</w:t>
      </w:r>
    </w:p>
    <w:p w14:paraId="2FCE1909" w14:textId="3E913738" w:rsidR="0094412E" w:rsidRPr="0098475C" w:rsidRDefault="0094412E" w:rsidP="0094412E">
      <w:pPr>
        <w:pStyle w:val="ListParagraph"/>
        <w:numPr>
          <w:ilvl w:val="0"/>
          <w:numId w:val="13"/>
        </w:numPr>
        <w:spacing w:before="100" w:beforeAutospacing="1" w:after="100" w:afterAutospacing="1"/>
        <w:rPr>
          <w:b/>
          <w:bCs/>
          <w:color w:val="222222"/>
          <w:sz w:val="22"/>
          <w:szCs w:val="22"/>
        </w:rPr>
      </w:pPr>
      <w:r w:rsidRPr="0098475C">
        <w:rPr>
          <w:b/>
          <w:bCs/>
          <w:color w:val="222222"/>
          <w:sz w:val="22"/>
          <w:szCs w:val="22"/>
        </w:rPr>
        <w:t>Motor</w:t>
      </w:r>
    </w:p>
    <w:p w14:paraId="60A12E32" w14:textId="2D6853FA" w:rsidR="009F794A" w:rsidRPr="0098475C" w:rsidRDefault="0094412E" w:rsidP="0094412E">
      <w:pPr>
        <w:pStyle w:val="ListParagraph"/>
        <w:numPr>
          <w:ilvl w:val="1"/>
          <w:numId w:val="13"/>
        </w:numPr>
        <w:spacing w:before="100" w:beforeAutospacing="1" w:after="100" w:afterAutospacing="1"/>
        <w:rPr>
          <w:color w:val="222222"/>
          <w:sz w:val="22"/>
          <w:szCs w:val="22"/>
        </w:rPr>
      </w:pPr>
      <w:r w:rsidRPr="0098475C">
        <w:rPr>
          <w:b/>
          <w:bCs/>
          <w:color w:val="222222"/>
          <w:sz w:val="22"/>
          <w:szCs w:val="22"/>
        </w:rPr>
        <w:t>Explained variance</w:t>
      </w:r>
      <w:r w:rsidRPr="0098475C">
        <w:rPr>
          <w:color w:val="222222"/>
          <w:sz w:val="22"/>
          <w:szCs w:val="22"/>
        </w:rPr>
        <w:t xml:space="preserve">: </w:t>
      </w:r>
      <w:r w:rsidR="00B0606F">
        <w:rPr>
          <w:color w:val="222222"/>
          <w:sz w:val="22"/>
          <w:szCs w:val="22"/>
        </w:rPr>
        <w:t xml:space="preserve">82.2% </w:t>
      </w:r>
      <w:r w:rsidR="00526D89">
        <w:rPr>
          <w:color w:val="222222"/>
          <w:sz w:val="22"/>
          <w:szCs w:val="22"/>
        </w:rPr>
        <w:t>p=0.003</w:t>
      </w:r>
    </w:p>
    <w:p w14:paraId="2928E9D3" w14:textId="3F0675DB" w:rsidR="009F794A" w:rsidRPr="0098475C" w:rsidRDefault="00506197" w:rsidP="009F794A">
      <w:pPr>
        <w:pStyle w:val="ListParagraph"/>
        <w:numPr>
          <w:ilvl w:val="2"/>
          <w:numId w:val="13"/>
        </w:numPr>
        <w:spacing w:before="100" w:beforeAutospacing="1" w:after="100" w:afterAutospacing="1"/>
        <w:rPr>
          <w:color w:val="222222"/>
          <w:sz w:val="22"/>
          <w:szCs w:val="22"/>
        </w:rPr>
      </w:pPr>
      <w:r w:rsidRPr="0098475C">
        <w:rPr>
          <w:color w:val="222222"/>
          <w:sz w:val="22"/>
          <w:szCs w:val="22"/>
        </w:rPr>
        <w:t>PLS1</w:t>
      </w:r>
      <w:r w:rsidR="00002CEA">
        <w:rPr>
          <w:color w:val="222222"/>
          <w:sz w:val="22"/>
          <w:szCs w:val="22"/>
        </w:rPr>
        <w:t>=</w:t>
      </w:r>
      <w:r w:rsidRPr="0098475C">
        <w:rPr>
          <w:color w:val="222222"/>
          <w:sz w:val="22"/>
          <w:szCs w:val="22"/>
        </w:rPr>
        <w:t xml:space="preserve">48.2%, </w:t>
      </w:r>
    </w:p>
    <w:p w14:paraId="6FB70264" w14:textId="11832C04" w:rsidR="009F794A" w:rsidRPr="0098475C" w:rsidRDefault="00506197" w:rsidP="009F794A">
      <w:pPr>
        <w:pStyle w:val="ListParagraph"/>
        <w:numPr>
          <w:ilvl w:val="2"/>
          <w:numId w:val="13"/>
        </w:numPr>
        <w:spacing w:before="100" w:beforeAutospacing="1" w:after="100" w:afterAutospacing="1"/>
        <w:rPr>
          <w:color w:val="222222"/>
          <w:sz w:val="22"/>
          <w:szCs w:val="22"/>
        </w:rPr>
      </w:pPr>
      <w:r w:rsidRPr="0098475C">
        <w:rPr>
          <w:color w:val="222222"/>
          <w:sz w:val="22"/>
          <w:szCs w:val="22"/>
        </w:rPr>
        <w:t>PLS2=</w:t>
      </w:r>
      <w:r w:rsidR="0094412E" w:rsidRPr="0098475C">
        <w:rPr>
          <w:color w:val="222222"/>
          <w:sz w:val="22"/>
          <w:szCs w:val="22"/>
        </w:rPr>
        <w:t>17</w:t>
      </w:r>
      <w:r w:rsidR="00AE13FC" w:rsidRPr="0098475C">
        <w:rPr>
          <w:color w:val="222222"/>
          <w:sz w:val="22"/>
          <w:szCs w:val="22"/>
        </w:rPr>
        <w:t>.1%</w:t>
      </w:r>
      <w:r w:rsidR="0094412E" w:rsidRPr="0098475C">
        <w:rPr>
          <w:color w:val="222222"/>
          <w:sz w:val="22"/>
          <w:szCs w:val="22"/>
        </w:rPr>
        <w:t xml:space="preserve">    </w:t>
      </w:r>
    </w:p>
    <w:p w14:paraId="6400228D" w14:textId="703C3E36" w:rsidR="0094412E" w:rsidRPr="0098475C" w:rsidRDefault="009F794A" w:rsidP="009F794A">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PLS3=16.1% </w:t>
      </w:r>
    </w:p>
    <w:p w14:paraId="50ED37AA" w14:textId="6A6E68A6" w:rsidR="009F794A" w:rsidRPr="0098475C" w:rsidRDefault="009F794A" w:rsidP="0094412E">
      <w:pPr>
        <w:pStyle w:val="ListParagraph"/>
        <w:numPr>
          <w:ilvl w:val="1"/>
          <w:numId w:val="13"/>
        </w:numPr>
        <w:spacing w:before="100" w:beforeAutospacing="1" w:after="100" w:afterAutospacing="1"/>
        <w:rPr>
          <w:b/>
          <w:bCs/>
          <w:color w:val="222222"/>
          <w:sz w:val="22"/>
          <w:szCs w:val="22"/>
        </w:rPr>
      </w:pPr>
      <w:r w:rsidRPr="0098475C">
        <w:rPr>
          <w:b/>
          <w:bCs/>
          <w:color w:val="222222"/>
          <w:sz w:val="22"/>
          <w:szCs w:val="22"/>
        </w:rPr>
        <w:t>Cor</w:t>
      </w:r>
      <w:r w:rsidR="0098475C">
        <w:rPr>
          <w:b/>
          <w:bCs/>
          <w:color w:val="222222"/>
          <w:sz w:val="22"/>
          <w:szCs w:val="22"/>
        </w:rPr>
        <w:t>r</w:t>
      </w:r>
      <w:r w:rsidRPr="0098475C">
        <w:rPr>
          <w:b/>
          <w:bCs/>
          <w:color w:val="222222"/>
          <w:sz w:val="22"/>
          <w:szCs w:val="22"/>
        </w:rPr>
        <w:t>elation:</w:t>
      </w:r>
    </w:p>
    <w:p w14:paraId="49EC6168" w14:textId="213D774C" w:rsidR="0094412E" w:rsidRPr="0098475C" w:rsidRDefault="0094412E" w:rsidP="009F794A">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PLS1 R= </w:t>
      </w:r>
      <w:r w:rsidR="000B2C52">
        <w:rPr>
          <w:color w:val="222222"/>
          <w:sz w:val="22"/>
          <w:szCs w:val="22"/>
        </w:rPr>
        <w:t>0.696</w:t>
      </w:r>
      <w:r w:rsidRPr="0098475C">
        <w:rPr>
          <w:color w:val="222222"/>
          <w:sz w:val="22"/>
          <w:szCs w:val="22"/>
        </w:rPr>
        <w:t xml:space="preserve">, p= </w:t>
      </w:r>
      <w:r w:rsidR="00506197" w:rsidRPr="0098475C">
        <w:rPr>
          <w:color w:val="222222"/>
          <w:sz w:val="22"/>
          <w:szCs w:val="22"/>
        </w:rPr>
        <w:t>4.0x10</w:t>
      </w:r>
      <w:r w:rsidR="00506197" w:rsidRPr="0098475C">
        <w:rPr>
          <w:color w:val="222222"/>
          <w:sz w:val="22"/>
          <w:szCs w:val="22"/>
          <w:vertAlign w:val="superscript"/>
        </w:rPr>
        <w:t>-8</w:t>
      </w:r>
      <w:r w:rsidR="00506197" w:rsidRPr="0098475C">
        <w:rPr>
          <w:color w:val="222222"/>
          <w:sz w:val="22"/>
          <w:szCs w:val="22"/>
        </w:rPr>
        <w:t xml:space="preserve"> </w:t>
      </w:r>
    </w:p>
    <w:p w14:paraId="768D035C" w14:textId="43545D7A" w:rsidR="0094412E" w:rsidRPr="004B4F9A" w:rsidRDefault="0094412E" w:rsidP="009F794A">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PLS2 R= </w:t>
      </w:r>
      <w:r w:rsidR="00F85404">
        <w:rPr>
          <w:color w:val="222222"/>
          <w:sz w:val="22"/>
          <w:szCs w:val="22"/>
        </w:rPr>
        <w:t>0.41</w:t>
      </w:r>
      <w:r w:rsidR="00217BE7">
        <w:rPr>
          <w:color w:val="222222"/>
          <w:sz w:val="22"/>
          <w:szCs w:val="22"/>
        </w:rPr>
        <w:t>, p=</w:t>
      </w:r>
      <w:r w:rsidR="004B4F9A">
        <w:rPr>
          <w:color w:val="222222"/>
          <w:sz w:val="22"/>
          <w:szCs w:val="22"/>
        </w:rPr>
        <w:t>3</w:t>
      </w:r>
      <w:r w:rsidR="004B4F9A" w:rsidRPr="0098475C">
        <w:rPr>
          <w:color w:val="222222"/>
          <w:sz w:val="22"/>
          <w:szCs w:val="22"/>
        </w:rPr>
        <w:t>.</w:t>
      </w:r>
      <w:r w:rsidR="004B4F9A">
        <w:rPr>
          <w:color w:val="222222"/>
          <w:sz w:val="22"/>
          <w:szCs w:val="22"/>
        </w:rPr>
        <w:t>7</w:t>
      </w:r>
      <w:r w:rsidR="004B4F9A" w:rsidRPr="0098475C">
        <w:rPr>
          <w:color w:val="222222"/>
          <w:sz w:val="22"/>
          <w:szCs w:val="22"/>
        </w:rPr>
        <w:t>x10</w:t>
      </w:r>
      <w:r w:rsidR="004B4F9A" w:rsidRPr="0098475C">
        <w:rPr>
          <w:color w:val="222222"/>
          <w:sz w:val="22"/>
          <w:szCs w:val="22"/>
          <w:vertAlign w:val="superscript"/>
        </w:rPr>
        <w:t>-</w:t>
      </w:r>
      <w:r w:rsidR="004B4F9A">
        <w:rPr>
          <w:color w:val="222222"/>
          <w:sz w:val="22"/>
          <w:szCs w:val="22"/>
          <w:vertAlign w:val="superscript"/>
        </w:rPr>
        <w:t>3</w:t>
      </w:r>
    </w:p>
    <w:p w14:paraId="1692DA27" w14:textId="583B88EE" w:rsidR="004B4F9A" w:rsidRPr="00830E6F" w:rsidRDefault="004B4F9A" w:rsidP="009F794A">
      <w:pPr>
        <w:pStyle w:val="ListParagraph"/>
        <w:numPr>
          <w:ilvl w:val="2"/>
          <w:numId w:val="13"/>
        </w:numPr>
        <w:spacing w:before="100" w:beforeAutospacing="1" w:after="100" w:afterAutospacing="1"/>
        <w:rPr>
          <w:color w:val="222222"/>
          <w:sz w:val="22"/>
          <w:szCs w:val="22"/>
        </w:rPr>
      </w:pPr>
      <w:r>
        <w:rPr>
          <w:color w:val="222222"/>
          <w:sz w:val="22"/>
          <w:szCs w:val="22"/>
        </w:rPr>
        <w:t>PLS3 R=0.41, p=3.8x</w:t>
      </w:r>
      <w:r w:rsidRPr="0098475C">
        <w:rPr>
          <w:color w:val="222222"/>
          <w:sz w:val="22"/>
          <w:szCs w:val="22"/>
        </w:rPr>
        <w:t>10</w:t>
      </w:r>
      <w:r w:rsidRPr="0098475C">
        <w:rPr>
          <w:color w:val="222222"/>
          <w:sz w:val="22"/>
          <w:szCs w:val="22"/>
          <w:vertAlign w:val="superscript"/>
        </w:rPr>
        <w:t>-</w:t>
      </w:r>
      <w:r>
        <w:rPr>
          <w:color w:val="222222"/>
          <w:sz w:val="22"/>
          <w:szCs w:val="22"/>
          <w:vertAlign w:val="superscript"/>
        </w:rPr>
        <w:t>3</w:t>
      </w:r>
    </w:p>
    <w:p w14:paraId="7F00E70D" w14:textId="6B85FD0E" w:rsidR="00830E6F" w:rsidRPr="000B2C52" w:rsidRDefault="00830E6F" w:rsidP="00830E6F">
      <w:pPr>
        <w:pStyle w:val="ListParagraph"/>
        <w:numPr>
          <w:ilvl w:val="0"/>
          <w:numId w:val="13"/>
        </w:numPr>
        <w:spacing w:before="100" w:beforeAutospacing="1" w:after="100" w:afterAutospacing="1"/>
        <w:rPr>
          <w:b/>
          <w:bCs/>
          <w:color w:val="222222"/>
          <w:sz w:val="22"/>
          <w:szCs w:val="22"/>
        </w:rPr>
      </w:pPr>
      <w:r w:rsidRPr="000B2C52">
        <w:rPr>
          <w:b/>
          <w:bCs/>
          <w:color w:val="222222"/>
          <w:sz w:val="22"/>
          <w:szCs w:val="22"/>
        </w:rPr>
        <w:t>EXEC</w:t>
      </w:r>
    </w:p>
    <w:p w14:paraId="4ABCEDD1" w14:textId="4E577A44" w:rsidR="00830E6F" w:rsidRPr="0098475C" w:rsidRDefault="00830E6F" w:rsidP="00830E6F">
      <w:pPr>
        <w:pStyle w:val="ListParagraph"/>
        <w:numPr>
          <w:ilvl w:val="1"/>
          <w:numId w:val="13"/>
        </w:numPr>
        <w:spacing w:before="100" w:beforeAutospacing="1" w:after="100" w:afterAutospacing="1"/>
        <w:rPr>
          <w:color w:val="222222"/>
          <w:sz w:val="22"/>
          <w:szCs w:val="22"/>
        </w:rPr>
      </w:pPr>
      <w:r w:rsidRPr="0098475C">
        <w:rPr>
          <w:b/>
          <w:bCs/>
          <w:color w:val="222222"/>
          <w:sz w:val="22"/>
          <w:szCs w:val="22"/>
        </w:rPr>
        <w:t>Explained variance</w:t>
      </w:r>
      <w:r w:rsidRPr="0098475C">
        <w:rPr>
          <w:color w:val="222222"/>
          <w:sz w:val="22"/>
          <w:szCs w:val="22"/>
        </w:rPr>
        <w:t xml:space="preserve">: </w:t>
      </w:r>
      <w:r w:rsidR="00526D89">
        <w:rPr>
          <w:color w:val="222222"/>
          <w:sz w:val="22"/>
          <w:szCs w:val="22"/>
        </w:rPr>
        <w:t xml:space="preserve"> </w:t>
      </w:r>
      <w:r w:rsidR="00526D89" w:rsidRPr="00526D89">
        <w:rPr>
          <w:rFonts w:ascii="var(--jp-code-font-family)" w:hAnsi="var(--jp-code-font-family)" w:cs="Courier New"/>
          <w:sz w:val="20"/>
          <w:szCs w:val="20"/>
        </w:rPr>
        <w:t>74</w:t>
      </w:r>
      <w:r w:rsidR="00526D89">
        <w:rPr>
          <w:rFonts w:ascii="var(--jp-code-font-family)" w:hAnsi="var(--jp-code-font-family)" w:cs="Courier New"/>
          <w:sz w:val="20"/>
          <w:szCs w:val="20"/>
        </w:rPr>
        <w:t>%, p=0.0001</w:t>
      </w:r>
    </w:p>
    <w:p w14:paraId="4CFC4909" w14:textId="65DC6AE9" w:rsidR="00830E6F" w:rsidRPr="0098475C" w:rsidRDefault="00830E6F" w:rsidP="00830E6F">
      <w:pPr>
        <w:pStyle w:val="ListParagraph"/>
        <w:numPr>
          <w:ilvl w:val="2"/>
          <w:numId w:val="13"/>
        </w:numPr>
        <w:spacing w:before="100" w:beforeAutospacing="1" w:after="100" w:afterAutospacing="1"/>
        <w:rPr>
          <w:color w:val="222222"/>
          <w:sz w:val="22"/>
          <w:szCs w:val="22"/>
        </w:rPr>
      </w:pPr>
      <w:r w:rsidRPr="0098475C">
        <w:rPr>
          <w:color w:val="222222"/>
          <w:sz w:val="22"/>
          <w:szCs w:val="22"/>
        </w:rPr>
        <w:t>PLS1</w:t>
      </w:r>
      <w:r w:rsidR="00526530">
        <w:rPr>
          <w:color w:val="222222"/>
          <w:sz w:val="22"/>
          <w:szCs w:val="22"/>
        </w:rPr>
        <w:t>=</w:t>
      </w:r>
      <w:r w:rsidR="00027041">
        <w:rPr>
          <w:color w:val="222222"/>
          <w:sz w:val="22"/>
          <w:szCs w:val="22"/>
        </w:rPr>
        <w:t>52</w:t>
      </w:r>
      <w:r w:rsidR="00405BED">
        <w:rPr>
          <w:color w:val="222222"/>
          <w:sz w:val="22"/>
          <w:szCs w:val="22"/>
        </w:rPr>
        <w:t>.2</w:t>
      </w:r>
      <w:r w:rsidR="00027041">
        <w:rPr>
          <w:color w:val="222222"/>
          <w:sz w:val="22"/>
          <w:szCs w:val="22"/>
        </w:rPr>
        <w:t xml:space="preserve">%, </w:t>
      </w:r>
    </w:p>
    <w:p w14:paraId="058ABD82" w14:textId="5CD2BE50" w:rsidR="00830E6F" w:rsidRPr="0098475C" w:rsidRDefault="00830E6F" w:rsidP="00830E6F">
      <w:pPr>
        <w:pStyle w:val="ListParagraph"/>
        <w:numPr>
          <w:ilvl w:val="2"/>
          <w:numId w:val="13"/>
        </w:numPr>
        <w:spacing w:before="100" w:beforeAutospacing="1" w:after="100" w:afterAutospacing="1"/>
        <w:rPr>
          <w:color w:val="222222"/>
          <w:sz w:val="22"/>
          <w:szCs w:val="22"/>
        </w:rPr>
      </w:pPr>
      <w:r w:rsidRPr="0098475C">
        <w:rPr>
          <w:color w:val="222222"/>
          <w:sz w:val="22"/>
          <w:szCs w:val="22"/>
        </w:rPr>
        <w:t>PLS2</w:t>
      </w:r>
      <w:r w:rsidR="00526530">
        <w:rPr>
          <w:color w:val="222222"/>
          <w:sz w:val="22"/>
          <w:szCs w:val="22"/>
        </w:rPr>
        <w:t>=</w:t>
      </w:r>
      <w:r w:rsidR="00027041">
        <w:rPr>
          <w:color w:val="222222"/>
          <w:sz w:val="22"/>
          <w:szCs w:val="22"/>
        </w:rPr>
        <w:t>23</w:t>
      </w:r>
      <w:r w:rsidR="007B296C">
        <w:rPr>
          <w:color w:val="222222"/>
          <w:sz w:val="22"/>
          <w:szCs w:val="22"/>
        </w:rPr>
        <w:t>.0</w:t>
      </w:r>
      <w:r w:rsidR="00027041">
        <w:rPr>
          <w:color w:val="222222"/>
          <w:sz w:val="22"/>
          <w:szCs w:val="22"/>
        </w:rPr>
        <w:t>%</w:t>
      </w:r>
    </w:p>
    <w:p w14:paraId="065D8EFD" w14:textId="77777777" w:rsidR="00830E6F" w:rsidRPr="0098475C" w:rsidRDefault="00830E6F" w:rsidP="00830E6F">
      <w:pPr>
        <w:pStyle w:val="ListParagraph"/>
        <w:numPr>
          <w:ilvl w:val="1"/>
          <w:numId w:val="13"/>
        </w:numPr>
        <w:spacing w:before="100" w:beforeAutospacing="1" w:after="100" w:afterAutospacing="1"/>
        <w:rPr>
          <w:b/>
          <w:bCs/>
          <w:color w:val="222222"/>
          <w:sz w:val="22"/>
          <w:szCs w:val="22"/>
        </w:rPr>
      </w:pPr>
      <w:r w:rsidRPr="0098475C">
        <w:rPr>
          <w:b/>
          <w:bCs/>
          <w:color w:val="222222"/>
          <w:sz w:val="22"/>
          <w:szCs w:val="22"/>
        </w:rPr>
        <w:t>Cor</w:t>
      </w:r>
      <w:r>
        <w:rPr>
          <w:b/>
          <w:bCs/>
          <w:color w:val="222222"/>
          <w:sz w:val="22"/>
          <w:szCs w:val="22"/>
        </w:rPr>
        <w:t>r</w:t>
      </w:r>
      <w:r w:rsidRPr="0098475C">
        <w:rPr>
          <w:b/>
          <w:bCs/>
          <w:color w:val="222222"/>
          <w:sz w:val="22"/>
          <w:szCs w:val="22"/>
        </w:rPr>
        <w:t>elation:</w:t>
      </w:r>
    </w:p>
    <w:p w14:paraId="4E4342BF" w14:textId="3023B325" w:rsidR="00830E6F" w:rsidRPr="0098475C" w:rsidRDefault="00830E6F" w:rsidP="00830E6F">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PLS1 </w:t>
      </w:r>
      <w:r w:rsidR="00C0341E">
        <w:rPr>
          <w:color w:val="222222"/>
          <w:sz w:val="22"/>
          <w:szCs w:val="22"/>
        </w:rPr>
        <w:t>R</w:t>
      </w:r>
      <w:r w:rsidR="007859EF">
        <w:rPr>
          <w:color w:val="222222"/>
          <w:sz w:val="22"/>
          <w:szCs w:val="22"/>
        </w:rPr>
        <w:t>=0.</w:t>
      </w:r>
      <w:proofErr w:type="gramStart"/>
      <w:r w:rsidR="007859EF">
        <w:rPr>
          <w:color w:val="222222"/>
          <w:sz w:val="22"/>
          <w:szCs w:val="22"/>
        </w:rPr>
        <w:t>72 ,</w:t>
      </w:r>
      <w:proofErr w:type="gramEnd"/>
      <w:r w:rsidR="007859EF">
        <w:rPr>
          <w:color w:val="222222"/>
          <w:sz w:val="22"/>
          <w:szCs w:val="22"/>
        </w:rPr>
        <w:t xml:space="preserve"> p = </w:t>
      </w:r>
      <w:r w:rsidR="00D0083A" w:rsidRPr="000D126E">
        <w:rPr>
          <w:rFonts w:ascii="var(--jp-code-font-family)" w:hAnsi="var(--jp-code-font-family)" w:cs="Courier New"/>
          <w:sz w:val="20"/>
          <w:szCs w:val="20"/>
        </w:rPr>
        <w:t>9.</w:t>
      </w:r>
      <w:r w:rsidR="007859EF">
        <w:rPr>
          <w:rFonts w:ascii="var(--jp-code-font-family)" w:hAnsi="var(--jp-code-font-family)" w:cs="Courier New"/>
          <w:sz w:val="20"/>
          <w:szCs w:val="20"/>
        </w:rPr>
        <w:t>2</w:t>
      </w:r>
      <w:r w:rsidR="007859EF" w:rsidRPr="007859EF">
        <w:rPr>
          <w:color w:val="222222"/>
          <w:sz w:val="22"/>
          <w:szCs w:val="22"/>
        </w:rPr>
        <w:t xml:space="preserve"> </w:t>
      </w:r>
      <w:r w:rsidR="007859EF" w:rsidRPr="0098475C">
        <w:rPr>
          <w:color w:val="222222"/>
          <w:sz w:val="22"/>
          <w:szCs w:val="22"/>
        </w:rPr>
        <w:t>x10</w:t>
      </w:r>
      <w:r w:rsidR="007859EF" w:rsidRPr="0098475C">
        <w:rPr>
          <w:color w:val="222222"/>
          <w:sz w:val="22"/>
          <w:szCs w:val="22"/>
          <w:vertAlign w:val="superscript"/>
        </w:rPr>
        <w:t>-</w:t>
      </w:r>
      <w:r w:rsidR="007859EF">
        <w:rPr>
          <w:color w:val="222222"/>
          <w:sz w:val="22"/>
          <w:szCs w:val="22"/>
          <w:vertAlign w:val="superscript"/>
        </w:rPr>
        <w:t>9</w:t>
      </w:r>
      <w:r w:rsidR="00D0083A" w:rsidRPr="000D126E">
        <w:rPr>
          <w:rFonts w:ascii="var(--jp-code-font-family)" w:hAnsi="var(--jp-code-font-family)" w:cs="Courier New"/>
          <w:sz w:val="20"/>
          <w:szCs w:val="20"/>
        </w:rPr>
        <w:t>)</w:t>
      </w:r>
    </w:p>
    <w:p w14:paraId="05647421" w14:textId="0C637E56" w:rsidR="00830E6F" w:rsidRPr="004B4F9A" w:rsidRDefault="00830E6F" w:rsidP="00830E6F">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PLS2 </w:t>
      </w:r>
      <w:r w:rsidR="00C0341E">
        <w:rPr>
          <w:color w:val="222222"/>
          <w:sz w:val="22"/>
          <w:szCs w:val="22"/>
        </w:rPr>
        <w:t>R=</w:t>
      </w:r>
      <w:r w:rsidR="00C0341E" w:rsidRPr="000D126E">
        <w:rPr>
          <w:rFonts w:ascii="var(--jp-code-font-family)" w:hAnsi="var(--jp-code-font-family)" w:cs="Courier New"/>
          <w:sz w:val="20"/>
          <w:szCs w:val="20"/>
        </w:rPr>
        <w:t>0.4</w:t>
      </w:r>
      <w:r w:rsidR="00C0341E">
        <w:rPr>
          <w:rFonts w:ascii="var(--jp-code-font-family)" w:hAnsi="var(--jp-code-font-family)" w:cs="Courier New"/>
          <w:sz w:val="20"/>
          <w:szCs w:val="20"/>
        </w:rPr>
        <w:t>8</w:t>
      </w:r>
      <w:r w:rsidR="00C0341E" w:rsidRPr="000D126E">
        <w:rPr>
          <w:rFonts w:ascii="var(--jp-code-font-family)" w:hAnsi="var(--jp-code-font-family)" w:cs="Courier New"/>
          <w:sz w:val="20"/>
          <w:szCs w:val="20"/>
        </w:rPr>
        <w:t xml:space="preserve">, </w:t>
      </w:r>
      <w:r w:rsidR="00C0341E">
        <w:rPr>
          <w:rFonts w:ascii="var(--jp-code-font-family)" w:hAnsi="var(--jp-code-font-family)" w:cs="Courier New"/>
          <w:sz w:val="20"/>
          <w:szCs w:val="20"/>
        </w:rPr>
        <w:t xml:space="preserve">p=5.6 </w:t>
      </w:r>
      <w:r w:rsidR="00C0341E" w:rsidRPr="0098475C">
        <w:rPr>
          <w:color w:val="222222"/>
          <w:sz w:val="22"/>
          <w:szCs w:val="22"/>
        </w:rPr>
        <w:t>x10</w:t>
      </w:r>
      <w:r w:rsidR="00C0341E" w:rsidRPr="0098475C">
        <w:rPr>
          <w:color w:val="222222"/>
          <w:sz w:val="22"/>
          <w:szCs w:val="22"/>
          <w:vertAlign w:val="superscript"/>
        </w:rPr>
        <w:t>-</w:t>
      </w:r>
      <w:r w:rsidR="00C0341E">
        <w:rPr>
          <w:color w:val="222222"/>
          <w:sz w:val="22"/>
          <w:szCs w:val="22"/>
          <w:vertAlign w:val="superscript"/>
        </w:rPr>
        <w:t>4</w:t>
      </w:r>
    </w:p>
    <w:p w14:paraId="352817D5" w14:textId="77CCAD60" w:rsidR="00D0083A" w:rsidRPr="000B2C52" w:rsidRDefault="006B0493" w:rsidP="00D0083A">
      <w:pPr>
        <w:pStyle w:val="ListParagraph"/>
        <w:numPr>
          <w:ilvl w:val="0"/>
          <w:numId w:val="13"/>
        </w:numPr>
        <w:spacing w:before="100" w:beforeAutospacing="1" w:after="100" w:afterAutospacing="1"/>
        <w:rPr>
          <w:b/>
          <w:bCs/>
          <w:color w:val="222222"/>
          <w:sz w:val="22"/>
          <w:szCs w:val="22"/>
        </w:rPr>
      </w:pPr>
      <w:r w:rsidRPr="000B2C52">
        <w:rPr>
          <w:b/>
          <w:bCs/>
          <w:color w:val="222222"/>
          <w:sz w:val="22"/>
          <w:szCs w:val="22"/>
        </w:rPr>
        <w:t>LIMBIC</w:t>
      </w:r>
    </w:p>
    <w:p w14:paraId="5E27265C" w14:textId="7DAB8905" w:rsidR="00D0083A" w:rsidRPr="0098475C" w:rsidRDefault="00D0083A" w:rsidP="00D0083A">
      <w:pPr>
        <w:pStyle w:val="ListParagraph"/>
        <w:numPr>
          <w:ilvl w:val="1"/>
          <w:numId w:val="13"/>
        </w:numPr>
        <w:spacing w:before="100" w:beforeAutospacing="1" w:after="100" w:afterAutospacing="1"/>
        <w:rPr>
          <w:color w:val="222222"/>
          <w:sz w:val="22"/>
          <w:szCs w:val="22"/>
        </w:rPr>
      </w:pPr>
      <w:r w:rsidRPr="0098475C">
        <w:rPr>
          <w:b/>
          <w:bCs/>
          <w:color w:val="222222"/>
          <w:sz w:val="22"/>
          <w:szCs w:val="22"/>
        </w:rPr>
        <w:t>Explained variance</w:t>
      </w:r>
      <w:r w:rsidRPr="0098475C">
        <w:rPr>
          <w:color w:val="222222"/>
          <w:sz w:val="22"/>
          <w:szCs w:val="22"/>
        </w:rPr>
        <w:t xml:space="preserve">: </w:t>
      </w:r>
      <w:r w:rsidR="000B2C52">
        <w:rPr>
          <w:color w:val="222222"/>
          <w:sz w:val="22"/>
          <w:szCs w:val="22"/>
        </w:rPr>
        <w:t xml:space="preserve"> </w:t>
      </w:r>
      <w:r w:rsidR="00F976C5">
        <w:rPr>
          <w:color w:val="222222"/>
          <w:sz w:val="22"/>
          <w:szCs w:val="22"/>
        </w:rPr>
        <w:t xml:space="preserve"> </w:t>
      </w:r>
      <w:r w:rsidR="00D001D0">
        <w:rPr>
          <w:color w:val="222222"/>
          <w:sz w:val="22"/>
          <w:szCs w:val="22"/>
        </w:rPr>
        <w:t>R=</w:t>
      </w:r>
      <w:r w:rsidR="00F976C5">
        <w:rPr>
          <w:color w:val="222222"/>
          <w:sz w:val="22"/>
          <w:szCs w:val="22"/>
        </w:rPr>
        <w:t>73.1%</w:t>
      </w:r>
      <w:r w:rsidR="001504B7">
        <w:rPr>
          <w:color w:val="222222"/>
          <w:sz w:val="22"/>
          <w:szCs w:val="22"/>
        </w:rPr>
        <w:t>, p=</w:t>
      </w:r>
      <w:r w:rsidR="005170F2">
        <w:rPr>
          <w:color w:val="222222"/>
          <w:sz w:val="22"/>
          <w:szCs w:val="22"/>
        </w:rPr>
        <w:t>0.02</w:t>
      </w:r>
    </w:p>
    <w:p w14:paraId="1EF78B6A" w14:textId="0BFB0282" w:rsidR="00D0083A" w:rsidRPr="0098475C" w:rsidRDefault="00D0083A" w:rsidP="00D0083A">
      <w:pPr>
        <w:pStyle w:val="ListParagraph"/>
        <w:numPr>
          <w:ilvl w:val="2"/>
          <w:numId w:val="13"/>
        </w:numPr>
        <w:spacing w:before="100" w:beforeAutospacing="1" w:after="100" w:afterAutospacing="1"/>
        <w:rPr>
          <w:color w:val="222222"/>
          <w:sz w:val="22"/>
          <w:szCs w:val="22"/>
        </w:rPr>
      </w:pPr>
      <w:r w:rsidRPr="0098475C">
        <w:rPr>
          <w:color w:val="222222"/>
          <w:sz w:val="22"/>
          <w:szCs w:val="22"/>
        </w:rPr>
        <w:t>PLS1</w:t>
      </w:r>
      <w:r w:rsidR="00526530">
        <w:rPr>
          <w:color w:val="222222"/>
          <w:sz w:val="22"/>
          <w:szCs w:val="22"/>
        </w:rPr>
        <w:t>=</w:t>
      </w:r>
      <w:r w:rsidR="00741B8B">
        <w:rPr>
          <w:color w:val="222222"/>
          <w:sz w:val="22"/>
          <w:szCs w:val="22"/>
        </w:rPr>
        <w:t>49.1%</w:t>
      </w:r>
    </w:p>
    <w:p w14:paraId="19AC1BE1" w14:textId="7F4D51A2" w:rsidR="00D0083A" w:rsidRPr="0098475C" w:rsidRDefault="00D0083A" w:rsidP="00D0083A">
      <w:pPr>
        <w:pStyle w:val="ListParagraph"/>
        <w:numPr>
          <w:ilvl w:val="2"/>
          <w:numId w:val="13"/>
        </w:numPr>
        <w:spacing w:before="100" w:beforeAutospacing="1" w:after="100" w:afterAutospacing="1"/>
        <w:rPr>
          <w:color w:val="222222"/>
          <w:sz w:val="22"/>
          <w:szCs w:val="22"/>
        </w:rPr>
      </w:pPr>
      <w:r w:rsidRPr="0098475C">
        <w:rPr>
          <w:color w:val="222222"/>
          <w:sz w:val="22"/>
          <w:szCs w:val="22"/>
        </w:rPr>
        <w:t>PLS2</w:t>
      </w:r>
      <w:r w:rsidR="00526530">
        <w:rPr>
          <w:color w:val="222222"/>
          <w:sz w:val="22"/>
          <w:szCs w:val="22"/>
        </w:rPr>
        <w:t>=</w:t>
      </w:r>
      <w:r w:rsidR="00741B8B">
        <w:rPr>
          <w:color w:val="222222"/>
          <w:sz w:val="22"/>
          <w:szCs w:val="22"/>
        </w:rPr>
        <w:t>23.9%</w:t>
      </w:r>
    </w:p>
    <w:p w14:paraId="3EC120AD" w14:textId="77777777" w:rsidR="00D0083A" w:rsidRPr="0098475C" w:rsidRDefault="00D0083A" w:rsidP="00D0083A">
      <w:pPr>
        <w:pStyle w:val="ListParagraph"/>
        <w:numPr>
          <w:ilvl w:val="1"/>
          <w:numId w:val="13"/>
        </w:numPr>
        <w:spacing w:before="100" w:beforeAutospacing="1" w:after="100" w:afterAutospacing="1"/>
        <w:rPr>
          <w:b/>
          <w:bCs/>
          <w:color w:val="222222"/>
          <w:sz w:val="22"/>
          <w:szCs w:val="22"/>
        </w:rPr>
      </w:pPr>
      <w:r w:rsidRPr="0098475C">
        <w:rPr>
          <w:b/>
          <w:bCs/>
          <w:color w:val="222222"/>
          <w:sz w:val="22"/>
          <w:szCs w:val="22"/>
        </w:rPr>
        <w:t>Cor</w:t>
      </w:r>
      <w:r>
        <w:rPr>
          <w:b/>
          <w:bCs/>
          <w:color w:val="222222"/>
          <w:sz w:val="22"/>
          <w:szCs w:val="22"/>
        </w:rPr>
        <w:t>r</w:t>
      </w:r>
      <w:r w:rsidRPr="0098475C">
        <w:rPr>
          <w:b/>
          <w:bCs/>
          <w:color w:val="222222"/>
          <w:sz w:val="22"/>
          <w:szCs w:val="22"/>
        </w:rPr>
        <w:t>elation:</w:t>
      </w:r>
    </w:p>
    <w:p w14:paraId="120F5741" w14:textId="160DFF77" w:rsidR="00D0083A" w:rsidRPr="0098475C" w:rsidRDefault="00D0083A" w:rsidP="00D0083A">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PLS1 </w:t>
      </w:r>
      <w:r w:rsidR="00E737B8">
        <w:rPr>
          <w:color w:val="222222"/>
          <w:sz w:val="22"/>
          <w:szCs w:val="22"/>
        </w:rPr>
        <w:t>R=</w:t>
      </w:r>
      <w:r w:rsidR="00E737B8" w:rsidRPr="000D126E">
        <w:rPr>
          <w:rFonts w:ascii="var(--jp-code-font-family)" w:hAnsi="var(--jp-code-font-family)" w:cs="Courier New"/>
          <w:sz w:val="20"/>
          <w:szCs w:val="20"/>
        </w:rPr>
        <w:t>0.70</w:t>
      </w:r>
      <w:r w:rsidR="00E737B8">
        <w:rPr>
          <w:rFonts w:ascii="var(--jp-code-font-family)" w:hAnsi="var(--jp-code-font-family)" w:cs="Courier New"/>
          <w:sz w:val="20"/>
          <w:szCs w:val="20"/>
        </w:rPr>
        <w:t>, p= 4</w:t>
      </w:r>
      <w:r w:rsidR="00E737B8" w:rsidRPr="000D126E">
        <w:rPr>
          <w:rFonts w:ascii="var(--jp-code-font-family)" w:hAnsi="var(--jp-code-font-family)" w:cs="Courier New"/>
          <w:sz w:val="20"/>
          <w:szCs w:val="20"/>
        </w:rPr>
        <w:t>.</w:t>
      </w:r>
      <w:r w:rsidR="00E737B8">
        <w:rPr>
          <w:rFonts w:ascii="var(--jp-code-font-family)" w:hAnsi="var(--jp-code-font-family)" w:cs="Courier New"/>
          <w:sz w:val="20"/>
          <w:szCs w:val="20"/>
        </w:rPr>
        <w:t>7</w:t>
      </w:r>
      <w:r w:rsidR="00E737B8" w:rsidRPr="007859EF">
        <w:rPr>
          <w:color w:val="222222"/>
          <w:sz w:val="22"/>
          <w:szCs w:val="22"/>
        </w:rPr>
        <w:t xml:space="preserve"> </w:t>
      </w:r>
      <w:r w:rsidR="00E737B8" w:rsidRPr="0098475C">
        <w:rPr>
          <w:color w:val="222222"/>
          <w:sz w:val="22"/>
          <w:szCs w:val="22"/>
        </w:rPr>
        <w:t>x10</w:t>
      </w:r>
      <w:r w:rsidR="00E737B8" w:rsidRPr="0098475C">
        <w:rPr>
          <w:color w:val="222222"/>
          <w:sz w:val="22"/>
          <w:szCs w:val="22"/>
          <w:vertAlign w:val="superscript"/>
        </w:rPr>
        <w:t>-</w:t>
      </w:r>
      <w:r w:rsidR="00E737B8">
        <w:rPr>
          <w:color w:val="222222"/>
          <w:sz w:val="22"/>
          <w:szCs w:val="22"/>
          <w:vertAlign w:val="superscript"/>
        </w:rPr>
        <w:t>7</w:t>
      </w:r>
    </w:p>
    <w:p w14:paraId="2E7AF9AC" w14:textId="4E9A7B34" w:rsidR="00F43B13" w:rsidRPr="004276BB" w:rsidRDefault="00D0083A" w:rsidP="00F43B13">
      <w:pPr>
        <w:pStyle w:val="ListParagraph"/>
        <w:numPr>
          <w:ilvl w:val="2"/>
          <w:numId w:val="13"/>
        </w:numPr>
        <w:spacing w:before="100" w:beforeAutospacing="1" w:after="100" w:afterAutospacing="1"/>
        <w:rPr>
          <w:color w:val="222222"/>
          <w:sz w:val="22"/>
          <w:szCs w:val="22"/>
        </w:rPr>
      </w:pPr>
      <w:r w:rsidRPr="0098475C">
        <w:rPr>
          <w:color w:val="222222"/>
          <w:sz w:val="22"/>
          <w:szCs w:val="22"/>
        </w:rPr>
        <w:t xml:space="preserve">PLS2 </w:t>
      </w:r>
      <w:r w:rsidR="00611183">
        <w:rPr>
          <w:color w:val="222222"/>
          <w:sz w:val="22"/>
          <w:szCs w:val="22"/>
        </w:rPr>
        <w:t>R=0.48, p=1.3</w:t>
      </w:r>
      <w:r w:rsidR="00611183" w:rsidRPr="00611183">
        <w:rPr>
          <w:color w:val="222222"/>
          <w:sz w:val="22"/>
          <w:szCs w:val="22"/>
        </w:rPr>
        <w:t xml:space="preserve"> </w:t>
      </w:r>
      <w:r w:rsidR="00611183" w:rsidRPr="0098475C">
        <w:rPr>
          <w:color w:val="222222"/>
          <w:sz w:val="22"/>
          <w:szCs w:val="22"/>
        </w:rPr>
        <w:t>x10</w:t>
      </w:r>
      <w:r w:rsidR="00611183" w:rsidRPr="0098475C">
        <w:rPr>
          <w:color w:val="222222"/>
          <w:sz w:val="22"/>
          <w:szCs w:val="22"/>
          <w:vertAlign w:val="superscript"/>
        </w:rPr>
        <w:t>-</w:t>
      </w:r>
      <w:r w:rsidR="00611183">
        <w:rPr>
          <w:color w:val="222222"/>
          <w:sz w:val="22"/>
          <w:szCs w:val="22"/>
          <w:vertAlign w:val="superscript"/>
        </w:rPr>
        <w:t>3</w:t>
      </w:r>
    </w:p>
    <w:sectPr w:rsidR="00F43B13" w:rsidRPr="004276BB" w:rsidSect="0038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428EE" w14:textId="77777777" w:rsidR="00480D41" w:rsidRDefault="00480D41" w:rsidP="00B63B83">
      <w:r>
        <w:separator/>
      </w:r>
    </w:p>
  </w:endnote>
  <w:endnote w:type="continuationSeparator" w:id="0">
    <w:p w14:paraId="1CA09DD7" w14:textId="77777777" w:rsidR="00480D41" w:rsidRDefault="00480D41" w:rsidP="00B63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F83AB" w14:textId="77777777" w:rsidR="00480D41" w:rsidRDefault="00480D41" w:rsidP="00B63B83">
      <w:r>
        <w:separator/>
      </w:r>
    </w:p>
  </w:footnote>
  <w:footnote w:type="continuationSeparator" w:id="0">
    <w:p w14:paraId="0D6452A9" w14:textId="77777777" w:rsidR="00480D41" w:rsidRDefault="00480D41" w:rsidP="00B63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5F34"/>
    <w:multiLevelType w:val="hybridMultilevel"/>
    <w:tmpl w:val="39141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4E1D4C"/>
    <w:multiLevelType w:val="hybridMultilevel"/>
    <w:tmpl w:val="6CBE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A622E"/>
    <w:multiLevelType w:val="multilevel"/>
    <w:tmpl w:val="8AD0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7BA7"/>
    <w:multiLevelType w:val="multilevel"/>
    <w:tmpl w:val="EBC45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F17D0"/>
    <w:multiLevelType w:val="hybridMultilevel"/>
    <w:tmpl w:val="105A97D8"/>
    <w:lvl w:ilvl="0" w:tplc="5E1858B8">
      <w:start w:val="1"/>
      <w:numFmt w:val="decimal"/>
      <w:lvlText w:val="%1"/>
      <w:lvlJc w:val="left"/>
      <w:pPr>
        <w:ind w:left="720" w:hanging="360"/>
      </w:pPr>
      <w:rPr>
        <w:rFonts w:hint="default"/>
        <w:vertAlign w:val="superscrip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91F24E1"/>
    <w:multiLevelType w:val="hybridMultilevel"/>
    <w:tmpl w:val="EBE68A74"/>
    <w:lvl w:ilvl="0" w:tplc="86E45B3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D29FC"/>
    <w:multiLevelType w:val="hybridMultilevel"/>
    <w:tmpl w:val="A9EA207A"/>
    <w:lvl w:ilvl="0" w:tplc="D368B9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D1423"/>
    <w:multiLevelType w:val="multilevel"/>
    <w:tmpl w:val="8F5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7241F1"/>
    <w:multiLevelType w:val="hybridMultilevel"/>
    <w:tmpl w:val="01AE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70763"/>
    <w:multiLevelType w:val="multilevel"/>
    <w:tmpl w:val="C8BE941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53975"/>
    <w:multiLevelType w:val="hybridMultilevel"/>
    <w:tmpl w:val="F17C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BF4B80"/>
    <w:multiLevelType w:val="hybridMultilevel"/>
    <w:tmpl w:val="D11A5346"/>
    <w:lvl w:ilvl="0" w:tplc="408A3D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727C13"/>
    <w:multiLevelType w:val="hybridMultilevel"/>
    <w:tmpl w:val="6CDA6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7"/>
  </w:num>
  <w:num w:numId="5">
    <w:abstractNumId w:val="10"/>
  </w:num>
  <w:num w:numId="6">
    <w:abstractNumId w:val="8"/>
  </w:num>
  <w:num w:numId="7">
    <w:abstractNumId w:val="4"/>
  </w:num>
  <w:num w:numId="8">
    <w:abstractNumId w:val="12"/>
  </w:num>
  <w:num w:numId="9">
    <w:abstractNumId w:val="3"/>
  </w:num>
  <w:num w:numId="10">
    <w:abstractNumId w:val="6"/>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A2"/>
    <w:rsid w:val="00000A77"/>
    <w:rsid w:val="00002CEA"/>
    <w:rsid w:val="00003AA7"/>
    <w:rsid w:val="00017599"/>
    <w:rsid w:val="0001788F"/>
    <w:rsid w:val="00027041"/>
    <w:rsid w:val="000327A5"/>
    <w:rsid w:val="0003312B"/>
    <w:rsid w:val="00035FAD"/>
    <w:rsid w:val="00047732"/>
    <w:rsid w:val="00053C49"/>
    <w:rsid w:val="00056991"/>
    <w:rsid w:val="00057F32"/>
    <w:rsid w:val="000623ED"/>
    <w:rsid w:val="00065EE3"/>
    <w:rsid w:val="0007466F"/>
    <w:rsid w:val="00083D3B"/>
    <w:rsid w:val="00095D88"/>
    <w:rsid w:val="00097A02"/>
    <w:rsid w:val="000A2770"/>
    <w:rsid w:val="000A34A9"/>
    <w:rsid w:val="000B2C52"/>
    <w:rsid w:val="000D126E"/>
    <w:rsid w:val="000D6727"/>
    <w:rsid w:val="000D740A"/>
    <w:rsid w:val="000D742F"/>
    <w:rsid w:val="000F2461"/>
    <w:rsid w:val="000F27F2"/>
    <w:rsid w:val="0010574D"/>
    <w:rsid w:val="0011433B"/>
    <w:rsid w:val="0014284A"/>
    <w:rsid w:val="0014356E"/>
    <w:rsid w:val="001504B7"/>
    <w:rsid w:val="00151E6A"/>
    <w:rsid w:val="00155293"/>
    <w:rsid w:val="00161123"/>
    <w:rsid w:val="001631C5"/>
    <w:rsid w:val="001660C4"/>
    <w:rsid w:val="00172E3D"/>
    <w:rsid w:val="00177A5B"/>
    <w:rsid w:val="0018150E"/>
    <w:rsid w:val="001A74BE"/>
    <w:rsid w:val="001B411A"/>
    <w:rsid w:val="001B60DB"/>
    <w:rsid w:val="001B7715"/>
    <w:rsid w:val="002012D3"/>
    <w:rsid w:val="00203F0F"/>
    <w:rsid w:val="00204D89"/>
    <w:rsid w:val="00216F45"/>
    <w:rsid w:val="00217BE7"/>
    <w:rsid w:val="00246C0E"/>
    <w:rsid w:val="00254A06"/>
    <w:rsid w:val="002565E5"/>
    <w:rsid w:val="00256AEE"/>
    <w:rsid w:val="002771CA"/>
    <w:rsid w:val="0028422F"/>
    <w:rsid w:val="00287CEA"/>
    <w:rsid w:val="002A51FF"/>
    <w:rsid w:val="002A6BE5"/>
    <w:rsid w:val="002A6C27"/>
    <w:rsid w:val="002B37BE"/>
    <w:rsid w:val="002B616A"/>
    <w:rsid w:val="002C4F23"/>
    <w:rsid w:val="002D0D9F"/>
    <w:rsid w:val="002E102E"/>
    <w:rsid w:val="002E3AC4"/>
    <w:rsid w:val="002E7AFD"/>
    <w:rsid w:val="002F3FDC"/>
    <w:rsid w:val="002F435F"/>
    <w:rsid w:val="002F68E1"/>
    <w:rsid w:val="0031275E"/>
    <w:rsid w:val="00316AA0"/>
    <w:rsid w:val="00336C9C"/>
    <w:rsid w:val="00354729"/>
    <w:rsid w:val="00375E54"/>
    <w:rsid w:val="0038083D"/>
    <w:rsid w:val="003838F5"/>
    <w:rsid w:val="00387D74"/>
    <w:rsid w:val="00394B00"/>
    <w:rsid w:val="003A1635"/>
    <w:rsid w:val="003A311F"/>
    <w:rsid w:val="003A53AF"/>
    <w:rsid w:val="003A7C61"/>
    <w:rsid w:val="003D4A83"/>
    <w:rsid w:val="003D56DC"/>
    <w:rsid w:val="003F02E4"/>
    <w:rsid w:val="003F77A7"/>
    <w:rsid w:val="004047F8"/>
    <w:rsid w:val="00405BED"/>
    <w:rsid w:val="00421E3B"/>
    <w:rsid w:val="004276BB"/>
    <w:rsid w:val="00433603"/>
    <w:rsid w:val="0044615B"/>
    <w:rsid w:val="00471AFB"/>
    <w:rsid w:val="00473068"/>
    <w:rsid w:val="004762DB"/>
    <w:rsid w:val="00480D41"/>
    <w:rsid w:val="004851E5"/>
    <w:rsid w:val="004A699D"/>
    <w:rsid w:val="004A6D51"/>
    <w:rsid w:val="004B4F9A"/>
    <w:rsid w:val="004C27B9"/>
    <w:rsid w:val="004C3810"/>
    <w:rsid w:val="00506197"/>
    <w:rsid w:val="00507035"/>
    <w:rsid w:val="005136D3"/>
    <w:rsid w:val="005170F2"/>
    <w:rsid w:val="00526530"/>
    <w:rsid w:val="0052679C"/>
    <w:rsid w:val="00526D89"/>
    <w:rsid w:val="005326D3"/>
    <w:rsid w:val="00532ABD"/>
    <w:rsid w:val="00534A89"/>
    <w:rsid w:val="005475DC"/>
    <w:rsid w:val="00552D1E"/>
    <w:rsid w:val="00556EDA"/>
    <w:rsid w:val="005802BB"/>
    <w:rsid w:val="005B5189"/>
    <w:rsid w:val="005D592B"/>
    <w:rsid w:val="005E1DA2"/>
    <w:rsid w:val="005E7B6E"/>
    <w:rsid w:val="005F188A"/>
    <w:rsid w:val="005F77FE"/>
    <w:rsid w:val="005F7B85"/>
    <w:rsid w:val="00601E4E"/>
    <w:rsid w:val="00601EE4"/>
    <w:rsid w:val="00602699"/>
    <w:rsid w:val="00611183"/>
    <w:rsid w:val="006148FD"/>
    <w:rsid w:val="00622938"/>
    <w:rsid w:val="006269D2"/>
    <w:rsid w:val="00631F03"/>
    <w:rsid w:val="0066236A"/>
    <w:rsid w:val="006623D5"/>
    <w:rsid w:val="00671329"/>
    <w:rsid w:val="006731F9"/>
    <w:rsid w:val="00680179"/>
    <w:rsid w:val="00685040"/>
    <w:rsid w:val="00686B37"/>
    <w:rsid w:val="0069392B"/>
    <w:rsid w:val="006B0493"/>
    <w:rsid w:val="006D699D"/>
    <w:rsid w:val="006F2899"/>
    <w:rsid w:val="00710C74"/>
    <w:rsid w:val="00716A47"/>
    <w:rsid w:val="00741B8B"/>
    <w:rsid w:val="00755545"/>
    <w:rsid w:val="00766732"/>
    <w:rsid w:val="00767FEB"/>
    <w:rsid w:val="007746A1"/>
    <w:rsid w:val="007859EF"/>
    <w:rsid w:val="007B296C"/>
    <w:rsid w:val="007C35E1"/>
    <w:rsid w:val="007F092E"/>
    <w:rsid w:val="00801EAA"/>
    <w:rsid w:val="00802B6D"/>
    <w:rsid w:val="008047E5"/>
    <w:rsid w:val="00804C43"/>
    <w:rsid w:val="00812716"/>
    <w:rsid w:val="00830E6F"/>
    <w:rsid w:val="008327FE"/>
    <w:rsid w:val="008379CD"/>
    <w:rsid w:val="00843807"/>
    <w:rsid w:val="00847806"/>
    <w:rsid w:val="008738B3"/>
    <w:rsid w:val="00881F4C"/>
    <w:rsid w:val="00897922"/>
    <w:rsid w:val="008B477E"/>
    <w:rsid w:val="008C2341"/>
    <w:rsid w:val="008E4425"/>
    <w:rsid w:val="008F1CE3"/>
    <w:rsid w:val="008F38C0"/>
    <w:rsid w:val="00900FA2"/>
    <w:rsid w:val="00901F39"/>
    <w:rsid w:val="00922154"/>
    <w:rsid w:val="0093624F"/>
    <w:rsid w:val="0093711E"/>
    <w:rsid w:val="0094412E"/>
    <w:rsid w:val="009447B9"/>
    <w:rsid w:val="00962F05"/>
    <w:rsid w:val="0098475C"/>
    <w:rsid w:val="009905E4"/>
    <w:rsid w:val="009A0F06"/>
    <w:rsid w:val="009D6C1B"/>
    <w:rsid w:val="009F794A"/>
    <w:rsid w:val="00A07008"/>
    <w:rsid w:val="00A10557"/>
    <w:rsid w:val="00A2266A"/>
    <w:rsid w:val="00A3030F"/>
    <w:rsid w:val="00A32192"/>
    <w:rsid w:val="00A47DDD"/>
    <w:rsid w:val="00A7466B"/>
    <w:rsid w:val="00A81521"/>
    <w:rsid w:val="00A82EC5"/>
    <w:rsid w:val="00A909CF"/>
    <w:rsid w:val="00AA2B9A"/>
    <w:rsid w:val="00AB78A2"/>
    <w:rsid w:val="00AC5866"/>
    <w:rsid w:val="00AC5E09"/>
    <w:rsid w:val="00AD1395"/>
    <w:rsid w:val="00AD7A2E"/>
    <w:rsid w:val="00AE13FC"/>
    <w:rsid w:val="00AE513B"/>
    <w:rsid w:val="00AE7B8B"/>
    <w:rsid w:val="00AE7EB5"/>
    <w:rsid w:val="00B03501"/>
    <w:rsid w:val="00B0606F"/>
    <w:rsid w:val="00B1233F"/>
    <w:rsid w:val="00B15164"/>
    <w:rsid w:val="00B16DC6"/>
    <w:rsid w:val="00B24D12"/>
    <w:rsid w:val="00B45F78"/>
    <w:rsid w:val="00B60A3E"/>
    <w:rsid w:val="00B63B83"/>
    <w:rsid w:val="00B64EB1"/>
    <w:rsid w:val="00B67473"/>
    <w:rsid w:val="00B949F9"/>
    <w:rsid w:val="00BA19A2"/>
    <w:rsid w:val="00BA2029"/>
    <w:rsid w:val="00BB1584"/>
    <w:rsid w:val="00BC1DDC"/>
    <w:rsid w:val="00BC4B07"/>
    <w:rsid w:val="00BD00A6"/>
    <w:rsid w:val="00BD4892"/>
    <w:rsid w:val="00BF5E25"/>
    <w:rsid w:val="00C026AC"/>
    <w:rsid w:val="00C0341E"/>
    <w:rsid w:val="00C13F95"/>
    <w:rsid w:val="00C219EB"/>
    <w:rsid w:val="00C30D04"/>
    <w:rsid w:val="00C327D7"/>
    <w:rsid w:val="00C3381B"/>
    <w:rsid w:val="00C61BAC"/>
    <w:rsid w:val="00C7634A"/>
    <w:rsid w:val="00C76AF1"/>
    <w:rsid w:val="00C92ED2"/>
    <w:rsid w:val="00CC277C"/>
    <w:rsid w:val="00CC46B6"/>
    <w:rsid w:val="00CC5E24"/>
    <w:rsid w:val="00CE4912"/>
    <w:rsid w:val="00CE4D6D"/>
    <w:rsid w:val="00CE50AF"/>
    <w:rsid w:val="00CF7A0E"/>
    <w:rsid w:val="00D001D0"/>
    <w:rsid w:val="00D0083A"/>
    <w:rsid w:val="00D04CCB"/>
    <w:rsid w:val="00D12254"/>
    <w:rsid w:val="00D158D3"/>
    <w:rsid w:val="00D176AE"/>
    <w:rsid w:val="00D34093"/>
    <w:rsid w:val="00D37F98"/>
    <w:rsid w:val="00D42FE1"/>
    <w:rsid w:val="00D46E19"/>
    <w:rsid w:val="00D50706"/>
    <w:rsid w:val="00D66567"/>
    <w:rsid w:val="00D74B19"/>
    <w:rsid w:val="00D81CE4"/>
    <w:rsid w:val="00D84D8A"/>
    <w:rsid w:val="00D8657D"/>
    <w:rsid w:val="00D867D0"/>
    <w:rsid w:val="00D92177"/>
    <w:rsid w:val="00DC5EFA"/>
    <w:rsid w:val="00DD0B26"/>
    <w:rsid w:val="00DD6654"/>
    <w:rsid w:val="00DE30E3"/>
    <w:rsid w:val="00DF7C46"/>
    <w:rsid w:val="00E002B1"/>
    <w:rsid w:val="00E025D8"/>
    <w:rsid w:val="00E20AE8"/>
    <w:rsid w:val="00E21790"/>
    <w:rsid w:val="00E21B03"/>
    <w:rsid w:val="00E2234F"/>
    <w:rsid w:val="00E22591"/>
    <w:rsid w:val="00E353D2"/>
    <w:rsid w:val="00E374DD"/>
    <w:rsid w:val="00E7221A"/>
    <w:rsid w:val="00E737B8"/>
    <w:rsid w:val="00E74378"/>
    <w:rsid w:val="00E75905"/>
    <w:rsid w:val="00E76357"/>
    <w:rsid w:val="00E80B16"/>
    <w:rsid w:val="00E85755"/>
    <w:rsid w:val="00E86BC7"/>
    <w:rsid w:val="00E90505"/>
    <w:rsid w:val="00E94C17"/>
    <w:rsid w:val="00EA03F2"/>
    <w:rsid w:val="00EC0659"/>
    <w:rsid w:val="00EC42BE"/>
    <w:rsid w:val="00ED0C99"/>
    <w:rsid w:val="00ED7C75"/>
    <w:rsid w:val="00EF2E0C"/>
    <w:rsid w:val="00EF53E3"/>
    <w:rsid w:val="00EF5441"/>
    <w:rsid w:val="00EF62C5"/>
    <w:rsid w:val="00EF7355"/>
    <w:rsid w:val="00F0013D"/>
    <w:rsid w:val="00F05603"/>
    <w:rsid w:val="00F0571E"/>
    <w:rsid w:val="00F14F93"/>
    <w:rsid w:val="00F15AF1"/>
    <w:rsid w:val="00F279C1"/>
    <w:rsid w:val="00F31BF3"/>
    <w:rsid w:val="00F37889"/>
    <w:rsid w:val="00F43B13"/>
    <w:rsid w:val="00F53E03"/>
    <w:rsid w:val="00F70D13"/>
    <w:rsid w:val="00F749E2"/>
    <w:rsid w:val="00F813D5"/>
    <w:rsid w:val="00F83906"/>
    <w:rsid w:val="00F85404"/>
    <w:rsid w:val="00F960A9"/>
    <w:rsid w:val="00F9668F"/>
    <w:rsid w:val="00F976C5"/>
    <w:rsid w:val="00FA27D7"/>
    <w:rsid w:val="00FA5044"/>
    <w:rsid w:val="00FD1594"/>
    <w:rsid w:val="00FD1881"/>
    <w:rsid w:val="00FD2DAE"/>
    <w:rsid w:val="00FD575A"/>
    <w:rsid w:val="00FE5F32"/>
    <w:rsid w:val="00FF0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897EA"/>
  <w15:chartTrackingRefBased/>
  <w15:docId w15:val="{A81D5164-6CF4-C74C-B7E6-7B51E4F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DA2"/>
    <w:rPr>
      <w:i/>
      <w:iCs/>
    </w:rPr>
  </w:style>
  <w:style w:type="character" w:customStyle="1" w:styleId="apple-converted-space">
    <w:name w:val="apple-converted-space"/>
    <w:basedOn w:val="DefaultParagraphFont"/>
    <w:rsid w:val="005E1DA2"/>
  </w:style>
  <w:style w:type="paragraph" w:styleId="ListParagraph">
    <w:name w:val="List Paragraph"/>
    <w:basedOn w:val="Normal"/>
    <w:uiPriority w:val="34"/>
    <w:qFormat/>
    <w:rsid w:val="00F749E2"/>
    <w:pPr>
      <w:ind w:left="720"/>
      <w:contextualSpacing/>
    </w:pPr>
  </w:style>
  <w:style w:type="character" w:customStyle="1" w:styleId="il">
    <w:name w:val="il"/>
    <w:basedOn w:val="DefaultParagraphFont"/>
    <w:rsid w:val="00F749E2"/>
  </w:style>
  <w:style w:type="character" w:styleId="Hyperlink">
    <w:name w:val="Hyperlink"/>
    <w:basedOn w:val="DefaultParagraphFont"/>
    <w:uiPriority w:val="99"/>
    <w:unhideWhenUsed/>
    <w:rsid w:val="00E21B03"/>
    <w:rPr>
      <w:color w:val="0563C1" w:themeColor="hyperlink"/>
      <w:u w:val="single"/>
    </w:rPr>
  </w:style>
  <w:style w:type="paragraph" w:customStyle="1" w:styleId="Title1">
    <w:name w:val="Title1"/>
    <w:basedOn w:val="Normal"/>
    <w:rsid w:val="00E21B03"/>
    <w:pPr>
      <w:spacing w:before="100" w:beforeAutospacing="1" w:after="100" w:afterAutospacing="1"/>
    </w:pPr>
    <w:rPr>
      <w:lang w:eastAsia="zh-CN"/>
    </w:rPr>
  </w:style>
  <w:style w:type="character" w:customStyle="1" w:styleId="jrnl">
    <w:name w:val="jrnl"/>
    <w:basedOn w:val="DefaultParagraphFont"/>
    <w:rsid w:val="00E21B03"/>
  </w:style>
  <w:style w:type="character" w:customStyle="1" w:styleId="st">
    <w:name w:val="st"/>
    <w:basedOn w:val="DefaultParagraphFont"/>
    <w:rsid w:val="008327FE"/>
  </w:style>
  <w:style w:type="paragraph" w:styleId="NormalWeb">
    <w:name w:val="Normal (Web)"/>
    <w:basedOn w:val="Normal"/>
    <w:uiPriority w:val="99"/>
    <w:unhideWhenUsed/>
    <w:rsid w:val="004762DB"/>
    <w:pPr>
      <w:spacing w:before="100" w:beforeAutospacing="1" w:after="100" w:afterAutospacing="1"/>
    </w:pPr>
  </w:style>
  <w:style w:type="paragraph" w:styleId="Header">
    <w:name w:val="header"/>
    <w:basedOn w:val="Normal"/>
    <w:link w:val="HeaderChar"/>
    <w:uiPriority w:val="99"/>
    <w:unhideWhenUsed/>
    <w:rsid w:val="00B63B83"/>
    <w:pPr>
      <w:tabs>
        <w:tab w:val="center" w:pos="4680"/>
        <w:tab w:val="right" w:pos="9360"/>
      </w:tabs>
    </w:pPr>
  </w:style>
  <w:style w:type="character" w:customStyle="1" w:styleId="HeaderChar">
    <w:name w:val="Header Char"/>
    <w:basedOn w:val="DefaultParagraphFont"/>
    <w:link w:val="Header"/>
    <w:uiPriority w:val="99"/>
    <w:rsid w:val="00B63B83"/>
    <w:rPr>
      <w:rFonts w:ascii="Times New Roman" w:eastAsia="Times New Roman" w:hAnsi="Times New Roman" w:cs="Times New Roman"/>
    </w:rPr>
  </w:style>
  <w:style w:type="paragraph" w:styleId="Footer">
    <w:name w:val="footer"/>
    <w:basedOn w:val="Normal"/>
    <w:link w:val="FooterChar"/>
    <w:uiPriority w:val="99"/>
    <w:unhideWhenUsed/>
    <w:rsid w:val="00B63B83"/>
    <w:pPr>
      <w:tabs>
        <w:tab w:val="center" w:pos="4680"/>
        <w:tab w:val="right" w:pos="9360"/>
      </w:tabs>
    </w:pPr>
  </w:style>
  <w:style w:type="character" w:customStyle="1" w:styleId="FooterChar">
    <w:name w:val="Footer Char"/>
    <w:basedOn w:val="DefaultParagraphFont"/>
    <w:link w:val="Footer"/>
    <w:uiPriority w:val="99"/>
    <w:rsid w:val="00B63B83"/>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937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93711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6038">
      <w:bodyDiv w:val="1"/>
      <w:marLeft w:val="0"/>
      <w:marRight w:val="0"/>
      <w:marTop w:val="0"/>
      <w:marBottom w:val="0"/>
      <w:divBdr>
        <w:top w:val="none" w:sz="0" w:space="0" w:color="auto"/>
        <w:left w:val="none" w:sz="0" w:space="0" w:color="auto"/>
        <w:bottom w:val="none" w:sz="0" w:space="0" w:color="auto"/>
        <w:right w:val="none" w:sz="0" w:space="0" w:color="auto"/>
      </w:divBdr>
    </w:div>
    <w:div w:id="48038047">
      <w:bodyDiv w:val="1"/>
      <w:marLeft w:val="0"/>
      <w:marRight w:val="0"/>
      <w:marTop w:val="0"/>
      <w:marBottom w:val="0"/>
      <w:divBdr>
        <w:top w:val="none" w:sz="0" w:space="0" w:color="auto"/>
        <w:left w:val="none" w:sz="0" w:space="0" w:color="auto"/>
        <w:bottom w:val="none" w:sz="0" w:space="0" w:color="auto"/>
        <w:right w:val="none" w:sz="0" w:space="0" w:color="auto"/>
      </w:divBdr>
    </w:div>
    <w:div w:id="78646738">
      <w:bodyDiv w:val="1"/>
      <w:marLeft w:val="0"/>
      <w:marRight w:val="0"/>
      <w:marTop w:val="0"/>
      <w:marBottom w:val="0"/>
      <w:divBdr>
        <w:top w:val="none" w:sz="0" w:space="0" w:color="auto"/>
        <w:left w:val="none" w:sz="0" w:space="0" w:color="auto"/>
        <w:bottom w:val="none" w:sz="0" w:space="0" w:color="auto"/>
        <w:right w:val="none" w:sz="0" w:space="0" w:color="auto"/>
      </w:divBdr>
    </w:div>
    <w:div w:id="166557927">
      <w:bodyDiv w:val="1"/>
      <w:marLeft w:val="0"/>
      <w:marRight w:val="0"/>
      <w:marTop w:val="0"/>
      <w:marBottom w:val="0"/>
      <w:divBdr>
        <w:top w:val="none" w:sz="0" w:space="0" w:color="auto"/>
        <w:left w:val="none" w:sz="0" w:space="0" w:color="auto"/>
        <w:bottom w:val="none" w:sz="0" w:space="0" w:color="auto"/>
        <w:right w:val="none" w:sz="0" w:space="0" w:color="auto"/>
      </w:divBdr>
    </w:div>
    <w:div w:id="174271912">
      <w:bodyDiv w:val="1"/>
      <w:marLeft w:val="0"/>
      <w:marRight w:val="0"/>
      <w:marTop w:val="0"/>
      <w:marBottom w:val="0"/>
      <w:divBdr>
        <w:top w:val="none" w:sz="0" w:space="0" w:color="auto"/>
        <w:left w:val="none" w:sz="0" w:space="0" w:color="auto"/>
        <w:bottom w:val="none" w:sz="0" w:space="0" w:color="auto"/>
        <w:right w:val="none" w:sz="0" w:space="0" w:color="auto"/>
      </w:divBdr>
    </w:div>
    <w:div w:id="289895174">
      <w:bodyDiv w:val="1"/>
      <w:marLeft w:val="0"/>
      <w:marRight w:val="0"/>
      <w:marTop w:val="0"/>
      <w:marBottom w:val="0"/>
      <w:divBdr>
        <w:top w:val="none" w:sz="0" w:space="0" w:color="auto"/>
        <w:left w:val="none" w:sz="0" w:space="0" w:color="auto"/>
        <w:bottom w:val="none" w:sz="0" w:space="0" w:color="auto"/>
        <w:right w:val="none" w:sz="0" w:space="0" w:color="auto"/>
      </w:divBdr>
    </w:div>
    <w:div w:id="297227135">
      <w:bodyDiv w:val="1"/>
      <w:marLeft w:val="0"/>
      <w:marRight w:val="0"/>
      <w:marTop w:val="0"/>
      <w:marBottom w:val="0"/>
      <w:divBdr>
        <w:top w:val="none" w:sz="0" w:space="0" w:color="auto"/>
        <w:left w:val="none" w:sz="0" w:space="0" w:color="auto"/>
        <w:bottom w:val="none" w:sz="0" w:space="0" w:color="auto"/>
        <w:right w:val="none" w:sz="0" w:space="0" w:color="auto"/>
      </w:divBdr>
    </w:div>
    <w:div w:id="325741280">
      <w:bodyDiv w:val="1"/>
      <w:marLeft w:val="0"/>
      <w:marRight w:val="0"/>
      <w:marTop w:val="0"/>
      <w:marBottom w:val="0"/>
      <w:divBdr>
        <w:top w:val="none" w:sz="0" w:space="0" w:color="auto"/>
        <w:left w:val="none" w:sz="0" w:space="0" w:color="auto"/>
        <w:bottom w:val="none" w:sz="0" w:space="0" w:color="auto"/>
        <w:right w:val="none" w:sz="0" w:space="0" w:color="auto"/>
      </w:divBdr>
    </w:div>
    <w:div w:id="571038166">
      <w:bodyDiv w:val="1"/>
      <w:marLeft w:val="0"/>
      <w:marRight w:val="0"/>
      <w:marTop w:val="0"/>
      <w:marBottom w:val="0"/>
      <w:divBdr>
        <w:top w:val="none" w:sz="0" w:space="0" w:color="auto"/>
        <w:left w:val="none" w:sz="0" w:space="0" w:color="auto"/>
        <w:bottom w:val="none" w:sz="0" w:space="0" w:color="auto"/>
        <w:right w:val="none" w:sz="0" w:space="0" w:color="auto"/>
      </w:divBdr>
    </w:div>
    <w:div w:id="591284783">
      <w:bodyDiv w:val="1"/>
      <w:marLeft w:val="0"/>
      <w:marRight w:val="0"/>
      <w:marTop w:val="0"/>
      <w:marBottom w:val="0"/>
      <w:divBdr>
        <w:top w:val="none" w:sz="0" w:space="0" w:color="auto"/>
        <w:left w:val="none" w:sz="0" w:space="0" w:color="auto"/>
        <w:bottom w:val="none" w:sz="0" w:space="0" w:color="auto"/>
        <w:right w:val="none" w:sz="0" w:space="0" w:color="auto"/>
      </w:divBdr>
    </w:div>
    <w:div w:id="608272338">
      <w:bodyDiv w:val="1"/>
      <w:marLeft w:val="0"/>
      <w:marRight w:val="0"/>
      <w:marTop w:val="0"/>
      <w:marBottom w:val="0"/>
      <w:divBdr>
        <w:top w:val="none" w:sz="0" w:space="0" w:color="auto"/>
        <w:left w:val="none" w:sz="0" w:space="0" w:color="auto"/>
        <w:bottom w:val="none" w:sz="0" w:space="0" w:color="auto"/>
        <w:right w:val="none" w:sz="0" w:space="0" w:color="auto"/>
      </w:divBdr>
    </w:div>
    <w:div w:id="705520067">
      <w:bodyDiv w:val="1"/>
      <w:marLeft w:val="0"/>
      <w:marRight w:val="0"/>
      <w:marTop w:val="0"/>
      <w:marBottom w:val="0"/>
      <w:divBdr>
        <w:top w:val="none" w:sz="0" w:space="0" w:color="auto"/>
        <w:left w:val="none" w:sz="0" w:space="0" w:color="auto"/>
        <w:bottom w:val="none" w:sz="0" w:space="0" w:color="auto"/>
        <w:right w:val="none" w:sz="0" w:space="0" w:color="auto"/>
      </w:divBdr>
    </w:div>
    <w:div w:id="714163118">
      <w:bodyDiv w:val="1"/>
      <w:marLeft w:val="0"/>
      <w:marRight w:val="0"/>
      <w:marTop w:val="0"/>
      <w:marBottom w:val="0"/>
      <w:divBdr>
        <w:top w:val="none" w:sz="0" w:space="0" w:color="auto"/>
        <w:left w:val="none" w:sz="0" w:space="0" w:color="auto"/>
        <w:bottom w:val="none" w:sz="0" w:space="0" w:color="auto"/>
        <w:right w:val="none" w:sz="0" w:space="0" w:color="auto"/>
      </w:divBdr>
      <w:divsChild>
        <w:div w:id="710956716">
          <w:marLeft w:val="0"/>
          <w:marRight w:val="0"/>
          <w:marTop w:val="0"/>
          <w:marBottom w:val="0"/>
          <w:divBdr>
            <w:top w:val="none" w:sz="0" w:space="0" w:color="auto"/>
            <w:left w:val="none" w:sz="0" w:space="0" w:color="auto"/>
            <w:bottom w:val="none" w:sz="0" w:space="0" w:color="auto"/>
            <w:right w:val="none" w:sz="0" w:space="0" w:color="auto"/>
          </w:divBdr>
          <w:divsChild>
            <w:div w:id="565804515">
              <w:marLeft w:val="0"/>
              <w:marRight w:val="0"/>
              <w:marTop w:val="0"/>
              <w:marBottom w:val="0"/>
              <w:divBdr>
                <w:top w:val="none" w:sz="0" w:space="0" w:color="auto"/>
                <w:left w:val="none" w:sz="0" w:space="0" w:color="auto"/>
                <w:bottom w:val="none" w:sz="0" w:space="0" w:color="auto"/>
                <w:right w:val="none" w:sz="0" w:space="0" w:color="auto"/>
              </w:divBdr>
              <w:divsChild>
                <w:div w:id="364139753">
                  <w:marLeft w:val="0"/>
                  <w:marRight w:val="0"/>
                  <w:marTop w:val="0"/>
                  <w:marBottom w:val="0"/>
                  <w:divBdr>
                    <w:top w:val="none" w:sz="0" w:space="0" w:color="auto"/>
                    <w:left w:val="none" w:sz="0" w:space="0" w:color="auto"/>
                    <w:bottom w:val="none" w:sz="0" w:space="0" w:color="auto"/>
                    <w:right w:val="none" w:sz="0" w:space="0" w:color="auto"/>
                  </w:divBdr>
                  <w:divsChild>
                    <w:div w:id="147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154374">
      <w:bodyDiv w:val="1"/>
      <w:marLeft w:val="0"/>
      <w:marRight w:val="0"/>
      <w:marTop w:val="0"/>
      <w:marBottom w:val="0"/>
      <w:divBdr>
        <w:top w:val="none" w:sz="0" w:space="0" w:color="auto"/>
        <w:left w:val="none" w:sz="0" w:space="0" w:color="auto"/>
        <w:bottom w:val="none" w:sz="0" w:space="0" w:color="auto"/>
        <w:right w:val="none" w:sz="0" w:space="0" w:color="auto"/>
      </w:divBdr>
    </w:div>
    <w:div w:id="863665737">
      <w:bodyDiv w:val="1"/>
      <w:marLeft w:val="0"/>
      <w:marRight w:val="0"/>
      <w:marTop w:val="0"/>
      <w:marBottom w:val="0"/>
      <w:divBdr>
        <w:top w:val="none" w:sz="0" w:space="0" w:color="auto"/>
        <w:left w:val="none" w:sz="0" w:space="0" w:color="auto"/>
        <w:bottom w:val="none" w:sz="0" w:space="0" w:color="auto"/>
        <w:right w:val="none" w:sz="0" w:space="0" w:color="auto"/>
      </w:divBdr>
    </w:div>
    <w:div w:id="987128714">
      <w:bodyDiv w:val="1"/>
      <w:marLeft w:val="0"/>
      <w:marRight w:val="0"/>
      <w:marTop w:val="0"/>
      <w:marBottom w:val="0"/>
      <w:divBdr>
        <w:top w:val="none" w:sz="0" w:space="0" w:color="auto"/>
        <w:left w:val="none" w:sz="0" w:space="0" w:color="auto"/>
        <w:bottom w:val="none" w:sz="0" w:space="0" w:color="auto"/>
        <w:right w:val="none" w:sz="0" w:space="0" w:color="auto"/>
      </w:divBdr>
    </w:div>
    <w:div w:id="1162937144">
      <w:bodyDiv w:val="1"/>
      <w:marLeft w:val="0"/>
      <w:marRight w:val="0"/>
      <w:marTop w:val="0"/>
      <w:marBottom w:val="0"/>
      <w:divBdr>
        <w:top w:val="none" w:sz="0" w:space="0" w:color="auto"/>
        <w:left w:val="none" w:sz="0" w:space="0" w:color="auto"/>
        <w:bottom w:val="none" w:sz="0" w:space="0" w:color="auto"/>
        <w:right w:val="none" w:sz="0" w:space="0" w:color="auto"/>
      </w:divBdr>
    </w:div>
    <w:div w:id="1187062316">
      <w:bodyDiv w:val="1"/>
      <w:marLeft w:val="0"/>
      <w:marRight w:val="0"/>
      <w:marTop w:val="0"/>
      <w:marBottom w:val="0"/>
      <w:divBdr>
        <w:top w:val="none" w:sz="0" w:space="0" w:color="auto"/>
        <w:left w:val="none" w:sz="0" w:space="0" w:color="auto"/>
        <w:bottom w:val="none" w:sz="0" w:space="0" w:color="auto"/>
        <w:right w:val="none" w:sz="0" w:space="0" w:color="auto"/>
      </w:divBdr>
      <w:divsChild>
        <w:div w:id="1456363504">
          <w:marLeft w:val="0"/>
          <w:marRight w:val="0"/>
          <w:marTop w:val="0"/>
          <w:marBottom w:val="0"/>
          <w:divBdr>
            <w:top w:val="none" w:sz="0" w:space="0" w:color="auto"/>
            <w:left w:val="none" w:sz="0" w:space="0" w:color="auto"/>
            <w:bottom w:val="none" w:sz="0" w:space="0" w:color="auto"/>
            <w:right w:val="none" w:sz="0" w:space="0" w:color="auto"/>
          </w:divBdr>
          <w:divsChild>
            <w:div w:id="1082142872">
              <w:marLeft w:val="0"/>
              <w:marRight w:val="0"/>
              <w:marTop w:val="0"/>
              <w:marBottom w:val="0"/>
              <w:divBdr>
                <w:top w:val="none" w:sz="0" w:space="0" w:color="auto"/>
                <w:left w:val="none" w:sz="0" w:space="0" w:color="auto"/>
                <w:bottom w:val="none" w:sz="0" w:space="0" w:color="auto"/>
                <w:right w:val="none" w:sz="0" w:space="0" w:color="auto"/>
              </w:divBdr>
              <w:divsChild>
                <w:div w:id="85422103">
                  <w:marLeft w:val="0"/>
                  <w:marRight w:val="0"/>
                  <w:marTop w:val="0"/>
                  <w:marBottom w:val="0"/>
                  <w:divBdr>
                    <w:top w:val="none" w:sz="0" w:space="0" w:color="auto"/>
                    <w:left w:val="none" w:sz="0" w:space="0" w:color="auto"/>
                    <w:bottom w:val="none" w:sz="0" w:space="0" w:color="auto"/>
                    <w:right w:val="none" w:sz="0" w:space="0" w:color="auto"/>
                  </w:divBdr>
                  <w:divsChild>
                    <w:div w:id="1625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866531">
      <w:bodyDiv w:val="1"/>
      <w:marLeft w:val="0"/>
      <w:marRight w:val="0"/>
      <w:marTop w:val="0"/>
      <w:marBottom w:val="0"/>
      <w:divBdr>
        <w:top w:val="none" w:sz="0" w:space="0" w:color="auto"/>
        <w:left w:val="none" w:sz="0" w:space="0" w:color="auto"/>
        <w:bottom w:val="none" w:sz="0" w:space="0" w:color="auto"/>
        <w:right w:val="none" w:sz="0" w:space="0" w:color="auto"/>
      </w:divBdr>
    </w:div>
    <w:div w:id="1356033706">
      <w:bodyDiv w:val="1"/>
      <w:marLeft w:val="0"/>
      <w:marRight w:val="0"/>
      <w:marTop w:val="0"/>
      <w:marBottom w:val="0"/>
      <w:divBdr>
        <w:top w:val="none" w:sz="0" w:space="0" w:color="auto"/>
        <w:left w:val="none" w:sz="0" w:space="0" w:color="auto"/>
        <w:bottom w:val="none" w:sz="0" w:space="0" w:color="auto"/>
        <w:right w:val="none" w:sz="0" w:space="0" w:color="auto"/>
      </w:divBdr>
    </w:div>
    <w:div w:id="1410812510">
      <w:bodyDiv w:val="1"/>
      <w:marLeft w:val="0"/>
      <w:marRight w:val="0"/>
      <w:marTop w:val="0"/>
      <w:marBottom w:val="0"/>
      <w:divBdr>
        <w:top w:val="none" w:sz="0" w:space="0" w:color="auto"/>
        <w:left w:val="none" w:sz="0" w:space="0" w:color="auto"/>
        <w:bottom w:val="none" w:sz="0" w:space="0" w:color="auto"/>
        <w:right w:val="none" w:sz="0" w:space="0" w:color="auto"/>
      </w:divBdr>
    </w:div>
    <w:div w:id="1461998160">
      <w:bodyDiv w:val="1"/>
      <w:marLeft w:val="0"/>
      <w:marRight w:val="0"/>
      <w:marTop w:val="0"/>
      <w:marBottom w:val="0"/>
      <w:divBdr>
        <w:top w:val="none" w:sz="0" w:space="0" w:color="auto"/>
        <w:left w:val="none" w:sz="0" w:space="0" w:color="auto"/>
        <w:bottom w:val="none" w:sz="0" w:space="0" w:color="auto"/>
        <w:right w:val="none" w:sz="0" w:space="0" w:color="auto"/>
      </w:divBdr>
    </w:div>
    <w:div w:id="1632905067">
      <w:bodyDiv w:val="1"/>
      <w:marLeft w:val="0"/>
      <w:marRight w:val="0"/>
      <w:marTop w:val="0"/>
      <w:marBottom w:val="0"/>
      <w:divBdr>
        <w:top w:val="none" w:sz="0" w:space="0" w:color="auto"/>
        <w:left w:val="none" w:sz="0" w:space="0" w:color="auto"/>
        <w:bottom w:val="none" w:sz="0" w:space="0" w:color="auto"/>
        <w:right w:val="none" w:sz="0" w:space="0" w:color="auto"/>
      </w:divBdr>
      <w:divsChild>
        <w:div w:id="371266634">
          <w:marLeft w:val="0"/>
          <w:marRight w:val="0"/>
          <w:marTop w:val="0"/>
          <w:marBottom w:val="0"/>
          <w:divBdr>
            <w:top w:val="none" w:sz="0" w:space="0" w:color="auto"/>
            <w:left w:val="none" w:sz="0" w:space="0" w:color="auto"/>
            <w:bottom w:val="none" w:sz="0" w:space="0" w:color="auto"/>
            <w:right w:val="none" w:sz="0" w:space="0" w:color="auto"/>
          </w:divBdr>
        </w:div>
        <w:div w:id="1840778475">
          <w:marLeft w:val="0"/>
          <w:marRight w:val="0"/>
          <w:marTop w:val="0"/>
          <w:marBottom w:val="0"/>
          <w:divBdr>
            <w:top w:val="none" w:sz="0" w:space="0" w:color="auto"/>
            <w:left w:val="none" w:sz="0" w:space="0" w:color="auto"/>
            <w:bottom w:val="none" w:sz="0" w:space="0" w:color="auto"/>
            <w:right w:val="none" w:sz="0" w:space="0" w:color="auto"/>
          </w:divBdr>
        </w:div>
        <w:div w:id="685904199">
          <w:marLeft w:val="0"/>
          <w:marRight w:val="0"/>
          <w:marTop w:val="0"/>
          <w:marBottom w:val="0"/>
          <w:divBdr>
            <w:top w:val="none" w:sz="0" w:space="0" w:color="auto"/>
            <w:left w:val="none" w:sz="0" w:space="0" w:color="auto"/>
            <w:bottom w:val="none" w:sz="0" w:space="0" w:color="auto"/>
            <w:right w:val="none" w:sz="0" w:space="0" w:color="auto"/>
          </w:divBdr>
        </w:div>
        <w:div w:id="1551070108">
          <w:marLeft w:val="0"/>
          <w:marRight w:val="0"/>
          <w:marTop w:val="0"/>
          <w:marBottom w:val="0"/>
          <w:divBdr>
            <w:top w:val="none" w:sz="0" w:space="0" w:color="auto"/>
            <w:left w:val="none" w:sz="0" w:space="0" w:color="auto"/>
            <w:bottom w:val="none" w:sz="0" w:space="0" w:color="auto"/>
            <w:right w:val="none" w:sz="0" w:space="0" w:color="auto"/>
          </w:divBdr>
        </w:div>
        <w:div w:id="1483424644">
          <w:marLeft w:val="0"/>
          <w:marRight w:val="0"/>
          <w:marTop w:val="0"/>
          <w:marBottom w:val="0"/>
          <w:divBdr>
            <w:top w:val="none" w:sz="0" w:space="0" w:color="auto"/>
            <w:left w:val="none" w:sz="0" w:space="0" w:color="auto"/>
            <w:bottom w:val="none" w:sz="0" w:space="0" w:color="auto"/>
            <w:right w:val="none" w:sz="0" w:space="0" w:color="auto"/>
          </w:divBdr>
        </w:div>
        <w:div w:id="1496724913">
          <w:marLeft w:val="0"/>
          <w:marRight w:val="0"/>
          <w:marTop w:val="0"/>
          <w:marBottom w:val="0"/>
          <w:divBdr>
            <w:top w:val="none" w:sz="0" w:space="0" w:color="auto"/>
            <w:left w:val="none" w:sz="0" w:space="0" w:color="auto"/>
            <w:bottom w:val="none" w:sz="0" w:space="0" w:color="auto"/>
            <w:right w:val="none" w:sz="0" w:space="0" w:color="auto"/>
          </w:divBdr>
        </w:div>
      </w:divsChild>
    </w:div>
    <w:div w:id="1654488971">
      <w:bodyDiv w:val="1"/>
      <w:marLeft w:val="0"/>
      <w:marRight w:val="0"/>
      <w:marTop w:val="0"/>
      <w:marBottom w:val="0"/>
      <w:divBdr>
        <w:top w:val="none" w:sz="0" w:space="0" w:color="auto"/>
        <w:left w:val="none" w:sz="0" w:space="0" w:color="auto"/>
        <w:bottom w:val="none" w:sz="0" w:space="0" w:color="auto"/>
        <w:right w:val="none" w:sz="0" w:space="0" w:color="auto"/>
      </w:divBdr>
    </w:div>
    <w:div w:id="1754279722">
      <w:bodyDiv w:val="1"/>
      <w:marLeft w:val="0"/>
      <w:marRight w:val="0"/>
      <w:marTop w:val="0"/>
      <w:marBottom w:val="0"/>
      <w:divBdr>
        <w:top w:val="none" w:sz="0" w:space="0" w:color="auto"/>
        <w:left w:val="none" w:sz="0" w:space="0" w:color="auto"/>
        <w:bottom w:val="none" w:sz="0" w:space="0" w:color="auto"/>
        <w:right w:val="none" w:sz="0" w:space="0" w:color="auto"/>
      </w:divBdr>
    </w:div>
    <w:div w:id="1805612203">
      <w:bodyDiv w:val="1"/>
      <w:marLeft w:val="0"/>
      <w:marRight w:val="0"/>
      <w:marTop w:val="0"/>
      <w:marBottom w:val="0"/>
      <w:divBdr>
        <w:top w:val="none" w:sz="0" w:space="0" w:color="auto"/>
        <w:left w:val="none" w:sz="0" w:space="0" w:color="auto"/>
        <w:bottom w:val="none" w:sz="0" w:space="0" w:color="auto"/>
        <w:right w:val="none" w:sz="0" w:space="0" w:color="auto"/>
      </w:divBdr>
    </w:div>
    <w:div w:id="1902405865">
      <w:bodyDiv w:val="1"/>
      <w:marLeft w:val="0"/>
      <w:marRight w:val="0"/>
      <w:marTop w:val="0"/>
      <w:marBottom w:val="0"/>
      <w:divBdr>
        <w:top w:val="none" w:sz="0" w:space="0" w:color="auto"/>
        <w:left w:val="none" w:sz="0" w:space="0" w:color="auto"/>
        <w:bottom w:val="none" w:sz="0" w:space="0" w:color="auto"/>
        <w:right w:val="none" w:sz="0" w:space="0" w:color="auto"/>
      </w:divBdr>
    </w:div>
    <w:div w:id="1936984388">
      <w:bodyDiv w:val="1"/>
      <w:marLeft w:val="0"/>
      <w:marRight w:val="0"/>
      <w:marTop w:val="0"/>
      <w:marBottom w:val="0"/>
      <w:divBdr>
        <w:top w:val="none" w:sz="0" w:space="0" w:color="auto"/>
        <w:left w:val="none" w:sz="0" w:space="0" w:color="auto"/>
        <w:bottom w:val="none" w:sz="0" w:space="0" w:color="auto"/>
        <w:right w:val="none" w:sz="0" w:space="0" w:color="auto"/>
      </w:divBdr>
    </w:div>
    <w:div w:id="1947107314">
      <w:bodyDiv w:val="1"/>
      <w:marLeft w:val="0"/>
      <w:marRight w:val="0"/>
      <w:marTop w:val="0"/>
      <w:marBottom w:val="0"/>
      <w:divBdr>
        <w:top w:val="none" w:sz="0" w:space="0" w:color="auto"/>
        <w:left w:val="none" w:sz="0" w:space="0" w:color="auto"/>
        <w:bottom w:val="none" w:sz="0" w:space="0" w:color="auto"/>
        <w:right w:val="none" w:sz="0" w:space="0" w:color="auto"/>
      </w:divBdr>
    </w:div>
    <w:div w:id="1972517709">
      <w:bodyDiv w:val="1"/>
      <w:marLeft w:val="0"/>
      <w:marRight w:val="0"/>
      <w:marTop w:val="0"/>
      <w:marBottom w:val="0"/>
      <w:divBdr>
        <w:top w:val="none" w:sz="0" w:space="0" w:color="auto"/>
        <w:left w:val="none" w:sz="0" w:space="0" w:color="auto"/>
        <w:bottom w:val="none" w:sz="0" w:space="0" w:color="auto"/>
        <w:right w:val="none" w:sz="0" w:space="0" w:color="auto"/>
      </w:divBdr>
    </w:div>
    <w:div w:id="1989360114">
      <w:bodyDiv w:val="1"/>
      <w:marLeft w:val="0"/>
      <w:marRight w:val="0"/>
      <w:marTop w:val="0"/>
      <w:marBottom w:val="0"/>
      <w:divBdr>
        <w:top w:val="none" w:sz="0" w:space="0" w:color="auto"/>
        <w:left w:val="none" w:sz="0" w:space="0" w:color="auto"/>
        <w:bottom w:val="none" w:sz="0" w:space="0" w:color="auto"/>
        <w:right w:val="none" w:sz="0" w:space="0" w:color="auto"/>
      </w:divBdr>
    </w:div>
    <w:div w:id="203059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8336</Words>
  <Characters>47517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Kanaan, Ahmad S</dc:creator>
  <cp:keywords/>
  <dc:description/>
  <cp:lastModifiedBy>Kanaan, Ahmad S</cp:lastModifiedBy>
  <cp:revision>283</cp:revision>
  <cp:lastPrinted>2020-02-26T17:52:00Z</cp:lastPrinted>
  <dcterms:created xsi:type="dcterms:W3CDTF">2020-01-28T18:44:00Z</dcterms:created>
  <dcterms:modified xsi:type="dcterms:W3CDTF">2020-02-28T14:57:00Z</dcterms:modified>
</cp:coreProperties>
</file>