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00"/>
        <w:jc w:val="center"/>
      </w:pPr>
      <w:r>
        <w:rPr>
          <w:rFonts w:ascii="Times New Roman" w:cs="Times New Roman" w:eastAsia="Times New Roman" w:hAnsi="Times New Roman"/>
          <w:b/>
          <w:bCs/>
          <w:i w:val="false"/>
          <w:iCs w:val="false"/>
          <w:sz w:val="30"/>
          <w:szCs w:val="30"/>
        </w:rPr>
        <w:t xml:space="preserve">Laporan Hasil Ablation Study</w:t>
      </w:r>
    </w:p>
    <w:p>
      <w:pPr>
        <w:spacing w:after="260" w:line="300"/>
        <w:jc w:val="center"/>
      </w:pPr>
      <w:r>
        <w:rPr>
          <w:rFonts w:ascii="Times New Roman" w:cs="Times New Roman" w:eastAsia="Times New Roman" w:hAnsi="Times New Roman"/>
          <w:b/>
          <w:bCs/>
          <w:i w:val="false"/>
          <w:iCs w:val="false"/>
          <w:sz w:val="24"/>
          <w:szCs w:val="24"/>
        </w:rPr>
        <w:t xml:space="preserve">Komponen Arsitektur WasteNet-128K dan WasteNet-256K</w:t>
      </w:r>
    </w:p>
    <w:p>
      <w:pPr>
        <w:spacing w:after="100" w:before="120" w:line="360"/>
      </w:pPr>
      <w:r>
        <w:rPr>
          <w:rFonts w:ascii="Times New Roman" w:cs="Times New Roman" w:eastAsia="Times New Roman" w:hAnsi="Times New Roman"/>
          <w:b/>
          <w:bCs/>
          <w:i w:val="false"/>
          <w:iCs w:val="false"/>
          <w:sz w:val="24"/>
          <w:szCs w:val="24"/>
        </w:rPr>
        <w:t xml:space="preserve">Tujuan dan Metode</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Ablation study ini bertujuan mengetahui komponen arsitektur mana yang paling menentukan akurasi pada dua varian student WasteNet. Pengujian dilakukan pada studi enam kelas dengan lima seed (42, 123, 777, 2026, dan 3407), menggunakan pembagian data 70/15/15 yang berbeda pada tiap seed, serta konfigurasi pelatihan yang sama persis dengan CE-baseline. Selisih akurasi setiap variasi terhadap baseline diuji menggunakan paired t-test. Perlu diperhatikan bahwa variasi expand ratio dan classifier hidden mengubah jumlah parameter, sehingga jumlah parameternya turut dicantumkan, sedangkan variasi fungsi aktivasi dan koneksi residual tidak mengubah jumlah parameter.</w:t>
      </w:r>
    </w:p>
    <w:p>
      <w:pPr>
        <w:spacing w:after="100" w:before="120" w:line="360"/>
      </w:pPr>
      <w:r>
        <w:rPr>
          <w:rFonts w:ascii="Times New Roman" w:cs="Times New Roman" w:eastAsia="Times New Roman" w:hAnsi="Times New Roman"/>
          <w:b/>
          <w:bCs/>
          <w:i w:val="false"/>
          <w:iCs w:val="false"/>
          <w:sz w:val="24"/>
          <w:szCs w:val="24"/>
        </w:rPr>
        <w:t xml:space="preserve">Arsitektur WasteNet</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WasteNet merupakan CNN ringan yang disusun dari blok konvolusi depthwise-separable dengan struktur inverted residual, mengikuti prinsip efisiensi pada keluarga MobileNet dan EfficientNet. Pada setiap blok, kanal diperluas terlebih dahulu melalui konvolusi pointwise 1x1 sebesar rasio tertentu yang disebut expand ratio, kemudian diproses dengan konvolusi depthwise 3x3, lalu diproyeksikan kembali ke jumlah kanal semula. Setiap tahap disertai batch normalization dan aktivasi SiLU, serta koneksi residual apabila dimensi masukan dan keluaran sama. Pada bagian pengklasifikasi terdapat satu lapisan tersembunyi sebelum lapisan keluaran. Keempat komponen tersebut, yaitu fungsi aktivasi, expand ratio, koneksi residual, dan classifier hidden, merupakan bagian yang divariasikan dalam ablation ini. Model diuji pada dua tingkat kapasitas, yakni WasteNet-128K dengan sekitar 128 ribu parameter dan WasteNet-256K dengan sekitar 256 ribu parameter.</w:t>
      </w:r>
    </w:p>
    <w:p>
      <w:pPr>
        <w:spacing w:after="80" w:before="80" w:line="300"/>
      </w:pPr>
      <w:r>
        <w:rPr>
          <w:rFonts w:ascii="Times New Roman" w:cs="Times New Roman" w:eastAsia="Times New Roman" w:hAnsi="Times New Roman"/>
          <w:b/>
          <w:bCs/>
          <w:i w:val="false"/>
          <w:iCs w:val="false"/>
          <w:sz w:val="22"/>
          <w:szCs w:val="22"/>
        </w:rPr>
        <w:t xml:space="preserve">Tabel 1. Hasil Ablation WasteNet-128K</w:t>
      </w:r>
    </w:p>
    <w:tbl>
      <w:tblPr>
        <w:tblW w:type="dxa" w:w="902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950"/>
        <w:gridCol w:w="1350"/>
        <w:gridCol w:w="1050"/>
        <w:gridCol w:w="2170"/>
      </w:tblGrid>
      <w:tr>
        <w:trPr>
          <w:tblHeader/>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bCs/>
                <w:sz w:val="22"/>
                <w:szCs w:val="22"/>
              </w:rPr>
              <w:t xml:space="preserve">Konfigurasi</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Akurasi (mean ± std)</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Δ vs baseline</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paired-t</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Parameter</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Baseline (SiLU, expand 2.0, hidden 32)</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0,7689 ± 0,0172</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128.086</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SiLU menjadi ReLU</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0,7156 ± 0,0193</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-5,33 pp</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0,004*</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128.086</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Expand 2,0 menjadi 1,0</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0,7689 ± 0,0198</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+0,00 pp</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1,000</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45.638</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Tanpa hidden (32 ke 0)</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0,7646 ± 0,0192</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-0,42 pp</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0,634</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122.870</w:t>
            </w:r>
          </w:p>
        </w:tc>
      </w:tr>
    </w:tbl>
    <w:p>
      <w:pPr>
        <w:spacing w:after="220" w:line="264"/>
      </w:pPr>
      <w:r>
        <w:rPr>
          <w:rFonts w:ascii="Times New Roman" w:cs="Times New Roman" w:eastAsia="Times New Roman" w:hAnsi="Times New Roman"/>
          <w:b w:val="false"/>
          <w:bCs w:val="false"/>
          <w:i/>
          <w:iCs/>
          <w:sz w:val="20"/>
          <w:szCs w:val="20"/>
        </w:rPr>
        <w:t xml:space="preserve">Varian ReLU memperoleh akurasi lebih rendah dari baseline pada seluruh lima seed.</w:t>
      </w:r>
    </w:p>
    <w:p>
      <w:pPr>
        <w:spacing w:after="80" w:before="80" w:line="300"/>
      </w:pPr>
      <w:r>
        <w:rPr>
          <w:rFonts w:ascii="Times New Roman" w:cs="Times New Roman" w:eastAsia="Times New Roman" w:hAnsi="Times New Roman"/>
          <w:b/>
          <w:bCs/>
          <w:i w:val="false"/>
          <w:iCs w:val="false"/>
          <w:sz w:val="22"/>
          <w:szCs w:val="22"/>
        </w:rPr>
        <w:t xml:space="preserve">Tabel 2. Hasil Ablation WasteNet-256K</w:t>
      </w:r>
    </w:p>
    <w:tbl>
      <w:tblPr>
        <w:tblW w:type="dxa" w:w="902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950"/>
        <w:gridCol w:w="1350"/>
        <w:gridCol w:w="1050"/>
        <w:gridCol w:w="2170"/>
      </w:tblGrid>
      <w:tr>
        <w:trPr>
          <w:tblHeader/>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bCs/>
                <w:sz w:val="22"/>
                <w:szCs w:val="22"/>
              </w:rPr>
              <w:t xml:space="preserve">Konfigurasi</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Akurasi (mean ± std)</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Δ vs baseline</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paired-t</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bCs/>
                <w:sz w:val="22"/>
                <w:szCs w:val="22"/>
              </w:rPr>
              <w:t xml:space="preserve">Parameter</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Baseline (SiLU, expand 2.5, residual)</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0,7694 ± 0,0164</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256.002</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SiLU menjadi ReLU</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0,7873 ± 0,0223</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+1,79 pp</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0,268</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256.002</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Tanpa residual</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0,7662 ± 0,0130</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-0,32 pp</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0,702</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256.002</w:t>
            </w:r>
          </w:p>
        </w:tc>
      </w:tr>
      <w:tr>
        <w:trPr>
          <w:tblHeader w:val="false"/>
        </w:trPr>
        <w:tc>
          <w:tcPr>
            <w:tcW w:type="dxa" w:w="2500"/>
            <w:tcMar>
              <w:top w:type="dxa" w:w="30"/>
              <w:left w:type="dxa" w:w="90"/>
              <w:bottom w:type="dxa" w:w="30"/>
              <w:right w:type="dxa" w:w="90"/>
            </w:tcMar>
          </w:tcPr>
          <w:p>
            <w:pPr>
              <w:spacing w:after="0" w:line="252"/>
              <w:jc w:val="left"/>
            </w:pPr>
            <w:r>
              <w:rPr>
                <w:rFonts w:ascii="Times New Roman" w:cs="Times New Roman" w:eastAsia="Times New Roman" w:hAnsi="Times New Roman"/>
                <w:b w:val="false"/>
                <w:bCs w:val="false"/>
                <w:sz w:val="22"/>
                <w:szCs w:val="22"/>
              </w:rPr>
              <w:t xml:space="preserve">Expand 2,5 menjadi 1,0</w:t>
            </w:r>
          </w:p>
        </w:tc>
        <w:tc>
          <w:tcPr>
            <w:tcW w:type="dxa" w:w="19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0,7689 ± 0,0091</w:t>
            </w:r>
          </w:p>
        </w:tc>
        <w:tc>
          <w:tcPr>
            <w:tcW w:type="dxa" w:w="13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-0,05 pp</w:t>
            </w:r>
          </w:p>
        </w:tc>
        <w:tc>
          <w:tcPr>
            <w:tcW w:type="dxa" w:w="105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0,918</w:t>
            </w:r>
          </w:p>
        </w:tc>
        <w:tc>
          <w:tcPr>
            <w:tcW w:type="dxa" w:w="2170"/>
            <w:tcMar>
              <w:top w:type="dxa" w:w="30"/>
              <w:left w:type="dxa" w:w="90"/>
              <w:bottom w:type="dxa" w:w="30"/>
              <w:right w:type="dxa" w:w="90"/>
            </w:tcMar>
          </w:tcPr>
          <w:p>
            <w:pPr>
              <w:spacing w:after="0" w:line="252"/>
              <w:jc w:val="center"/>
            </w:pPr>
            <w:r>
              <w:rPr>
                <w:rFonts w:ascii="Times New Roman" w:cs="Times New Roman" w:eastAsia="Times New Roman" w:hAnsi="Times New Roman"/>
                <w:b w:val="false"/>
                <w:bCs w:val="false"/>
                <w:sz w:val="22"/>
                <w:szCs w:val="22"/>
              </w:rPr>
              <w:t xml:space="preserve">64.206</w:t>
            </w:r>
          </w:p>
        </w:tc>
      </w:tr>
    </w:tbl>
    <w:p>
      <w:pPr>
        <w:spacing w:after="220" w:line="264"/>
      </w:pPr>
      <w:r>
        <w:rPr>
          <w:rFonts w:ascii="Times New Roman" w:cs="Times New Roman" w:eastAsia="Times New Roman" w:hAnsi="Times New Roman"/>
          <w:b w:val="false"/>
          <w:bCs w:val="false"/>
          <w:i/>
          <w:iCs/>
          <w:sz w:val="20"/>
          <w:szCs w:val="20"/>
        </w:rPr>
        <w:t xml:space="preserve">Tidak ada komponen yang memberikan perbedaan signifikan pada WasteNet-256K, dengan seluruh nilai p di atas 0,26.</w:t>
      </w:r>
    </w:p>
    <w:p>
      <w:pPr>
        <w:spacing w:after="100" w:before="120" w:line="360"/>
      </w:pPr>
      <w:r>
        <w:rPr>
          <w:rFonts w:ascii="Times New Roman" w:cs="Times New Roman" w:eastAsia="Times New Roman" w:hAnsi="Times New Roman"/>
          <w:b/>
          <w:bCs/>
          <w:i w:val="false"/>
          <w:iCs w:val="false"/>
          <w:sz w:val="24"/>
          <w:szCs w:val="24"/>
        </w:rPr>
        <w:t xml:space="preserve">Pembahasan</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Hasil pengujian menunjukkan bahwa fungsi aktivasi merupakan komponen yang paling menentukan akurasi, namun pengaruhnya baru terlihat jelas pada model berkapasitas kecil. Pada WasteNet-128K, penggantian SiLU dengan ReLU menurunkan akurasi sebesar 5,33 poin persentase dan konsisten menghasilkan akurasi lebih rendah pada seluruh lima seed dengan nilai p sebesar 0,004. Karena penggantian ini tidak mengubah jumlah parameter, penurunan tersebut murni berasal dari perubahan fungsi aktivasi.</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Kondisi berbeda ditemukan pada WasteNet-256K. Pada model ini tidak ada satu pun komponen yang menghasilkan perbedaan signifikan, karena nilai p untuk aktivasi, residual, maupun expand seluruhnya berada di atas 0,26. Dengan demikian model berkapasitas 256K dapat dikatakan cukup tahan terhadap perubahan komponen. Penggantian ke ReLU memang menaikkan akurasi sekitar 1,79 poin persentase, tetapi kenaikan ini tidak signifikan secara statistik sehingga belum dapat dianggap sebagai perbaikan yang meyakinkan.</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Perbedaan antara kedua model tersebut mengindikasikan bahwa pengaruh fungsi aktivasi bergantung pada kapasitas model. Ketika kapasitas terbatas seperti pada 128K, pemilihan SiLU menjadi penting, sedangkan pada 256K perbedaannya menghilang. Hal ini diduga karena kapasitas yang lebih besar menyediakan cukup redundansi sehingga model tidak lagi bergantung pada satu fungsi aktivasi tertentu.</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Temuan lain yang cukup menarik berkaitan dengan expand ratio. Menurunkan expand ratio memangkas 64 hingga 75 persen parameter, tetapi akurasinya hampir tidak berubah dengan nilai p minimal 0,92. Hal ini menunjukkan bahwa kapasitas pada dimensi expand cenderung berlebih, sehingga masih tersedia ruang untuk efisiensi tanpa mengorbankan akurasi.</w:t>
      </w:r>
    </w:p>
    <w:p>
      <w:pPr>
        <w:spacing w:after="100" w:before="120" w:line="360"/>
      </w:pPr>
      <w:r>
        <w:rPr>
          <w:rFonts w:ascii="Times New Roman" w:cs="Times New Roman" w:eastAsia="Times New Roman" w:hAnsi="Times New Roman"/>
          <w:b/>
          <w:bCs/>
          <w:i w:val="false"/>
          <w:iCs w:val="false"/>
          <w:sz w:val="24"/>
          <w:szCs w:val="24"/>
        </w:rPr>
        <w:t xml:space="preserve">Catatan</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Variasi expand ratio dan classifier hidden mengubah jumlah parameter, sehingga efek yang teramati bercampur antara penghapusan komponen dan pengurangan kapasitas. Oleh karena itu jumlah parameter dicantumkan pada setiap baris agar interpretasinya tidak keliru, sementara variasi aktivasi dan residual tidak mengubah jumlah parameter sehingga efeknya dapat dibaca secara langsung. Selain itu, penggunaan lima seed membatasi daya uji statistik, sehingga efek yang kecil seperti kenaikan 1,79 poin persentase pada 256K masih mungkin nyata namun belum cukup bukti untuk dinyatakan signifikan.</w:t>
      </w:r>
    </w:p>
    <w:p>
      <w:pPr>
        <w:spacing w:after="100" w:before="120" w:line="360"/>
      </w:pPr>
      <w:r>
        <w:rPr>
          <w:rFonts w:ascii="Times New Roman" w:cs="Times New Roman" w:eastAsia="Times New Roman" w:hAnsi="Times New Roman"/>
          <w:b/>
          <w:bCs/>
          <w:i w:val="false"/>
          <w:iCs w:val="false"/>
          <w:sz w:val="24"/>
          <w:szCs w:val="24"/>
        </w:rPr>
        <w:t xml:space="preserve">Kesimpulan</w:t>
      </w:r>
    </w:p>
    <w:p>
      <w:pPr>
        <w:spacing w:after="200" w:line="360"/>
        <w:ind w:firstLine="480"/>
        <w:jc w:val="both"/>
      </w:pPr>
      <w:r>
        <w:rPr>
          <w:rFonts w:ascii="Times New Roman" w:cs="Times New Roman" w:eastAsia="Times New Roman" w:hAnsi="Times New Roman"/>
          <w:b w:val="false"/>
          <w:bCs w:val="false"/>
          <w:i w:val="false"/>
          <w:iCs w:val="false"/>
          <w:sz w:val="24"/>
          <w:szCs w:val="24"/>
        </w:rPr>
        <w:t xml:space="preserve">Komponen yang paling berpengaruh terhadap akurasi adalah fungsi aktivasi, dan pengaruhnya signifikan hanya pada WasteNet-128K. Model WasteNet-256K terbukti cukup tahan terhadap seluruh variasi komponen, sementara dimensi expand ratio bersifat berlebih sehingga dapat dipangkas tanpa menurunkan akurasi.</w:t>
      </w:r>
    </w:p>
    <w:p>
      <w:pPr>
        <w:spacing w:after="0" w:before="120" w:line="264"/>
      </w:pPr>
      <w:r>
        <w:rPr>
          <w:rFonts w:ascii="Times New Roman" w:cs="Times New Roman" w:eastAsia="Times New Roman" w:hAnsi="Times New Roman"/>
          <w:b w:val="false"/>
          <w:bCs w:val="false"/>
          <w:i/>
          <w:iCs/>
          <w:sz w:val="20"/>
          <w:szCs w:val="20"/>
        </w:rPr>
        <w:t xml:space="preserve">Keterangan: tanda * menunjukkan p &lt; 0,05. Selisih akurasi dinyatakan dalam poin persentase (pp).</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2026-07-22T01:01:33.492Z</dcterms:created>
  <dcterms:modified xsi:type="dcterms:W3CDTF">2026-07-22T01:01:33.494Z</dcterms:modified>
</cp:coreProperties>
</file>

<file path=docProps/custom.xml><?xml version="1.0" encoding="utf-8"?>
<Properties xmlns="http://schemas.openxmlformats.org/officeDocument/2006/custom-properties" xmlns:vt="http://schemas.openxmlformats.org/officeDocument/2006/docPropsVTypes"/>
</file>