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57C5" w:rsidRPr="0020723B" w:rsidRDefault="005520B0" w:rsidP="00F357C5">
      <w:pPr>
        <w:spacing w:before="51"/>
        <w:ind w:left="708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65" o:spid="_x0000_s1027" type="#_x0000_t202" style="position:absolute;left:0;text-align:left;margin-left:568.95pt;margin-top:425.8pt;width:24.4pt;height:49.95pt;z-index:251657216;mso-position-horizontal-relative:page;mso-position-vertical-relative:page" filled="f" stroked="f">
            <v:textbox style="layout-flow:vertical" inset="0,0,0,0">
              <w:txbxContent>
                <w:p w:rsidR="00F357C5" w:rsidRDefault="00F357C5" w:rsidP="00F357C5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25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FA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="00F357C5" w:rsidRPr="0020723B">
        <w:rPr>
          <w:rFonts w:ascii="Calibri" w:hAnsi="Calibri" w:cs="Arial"/>
          <w:color w:val="072160"/>
          <w:szCs w:val="20"/>
        </w:rPr>
        <w:t>FARMAKOTERAPIA</w:t>
      </w:r>
    </w:p>
    <w:p w:rsidR="00F357C5" w:rsidRPr="0020723B" w:rsidRDefault="00F357C5" w:rsidP="00F357C5">
      <w:pPr>
        <w:pStyle w:val="Tekstpodstawowy"/>
        <w:spacing w:before="144" w:line="247" w:lineRule="auto"/>
        <w:ind w:left="708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Szpital prowadzi nadzór nad bezpieczeństwem i efektywnością stosowanej </w:t>
      </w:r>
      <w:r>
        <w:rPr>
          <w:rFonts w:ascii="Calibri" w:hAnsi="Calibri" w:cs="Arial"/>
          <w:sz w:val="22"/>
        </w:rPr>
        <w:t>farmakoterapii: powinna być sto</w:t>
      </w:r>
      <w:r w:rsidRPr="0020723B">
        <w:rPr>
          <w:rFonts w:ascii="Calibri" w:hAnsi="Calibri" w:cs="Arial"/>
          <w:sz w:val="22"/>
        </w:rPr>
        <w:t>sowana w sposób możliwie racjonalny, zapewniający uzyskanie pozytywnyc</w:t>
      </w:r>
      <w:r w:rsidR="00A54A24">
        <w:rPr>
          <w:rFonts w:ascii="Calibri" w:hAnsi="Calibri" w:cs="Arial"/>
          <w:sz w:val="22"/>
        </w:rPr>
        <w:t>h wyników terapeutycznych i na</w:t>
      </w:r>
      <w:r w:rsidRPr="0020723B">
        <w:rPr>
          <w:rFonts w:ascii="Calibri" w:hAnsi="Calibri" w:cs="Arial"/>
          <w:sz w:val="22"/>
        </w:rPr>
        <w:t>kierowana na unikanie niepożądanych działań leków.</w:t>
      </w:r>
    </w:p>
    <w:p w:rsidR="00F357C5" w:rsidRPr="0020723B" w:rsidRDefault="00F357C5" w:rsidP="00F357C5">
      <w:pPr>
        <w:pStyle w:val="Tekstpodstawowy"/>
        <w:spacing w:before="2" w:line="247" w:lineRule="auto"/>
        <w:ind w:left="708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określić, jakie leki są standardowo dostępne, a które podlegają ograniczeniu w stosowaniu i dlaczego. Ustalając szpitalną listę leków SLL należy uwzględnić aktualne wytyczne postępowania klinicznego i udokumentowaną skuteczność; koszt zakupu nie powinien być jedynym wyznacznikiem stosowania leku. W szpitalu powinny być określone zasady gospodarki lekiem. W oparciu o przewidywane potrzeby, należy określić najkorzystniejsze sposoby zaopatrzenia w leki, wielkość potrzebnych zapasów w aptece lub w dziale farmacji i w oddziałach, sposoby uzupełniania i przechowywania, a także zasa</w:t>
      </w:r>
      <w:r w:rsidR="00545781">
        <w:rPr>
          <w:rFonts w:ascii="Calibri" w:hAnsi="Calibri" w:cs="Arial"/>
          <w:sz w:val="22"/>
        </w:rPr>
        <w:t>dy zamawiania i dystrybucji. Na</w:t>
      </w:r>
      <w:r w:rsidRPr="0020723B">
        <w:rPr>
          <w:rFonts w:ascii="Calibri" w:hAnsi="Calibri" w:cs="Arial"/>
          <w:sz w:val="22"/>
        </w:rPr>
        <w:t>leży określić zasady bezpiecznego przygotowywania i podawania zleconych leków właściwym pacjentom, we właściwej dawce, postaci, czasie i drodze podania.</w:t>
      </w:r>
    </w:p>
    <w:p w:rsidR="00F357C5" w:rsidRPr="0020723B" w:rsidRDefault="00F357C5" w:rsidP="00F357C5">
      <w:pPr>
        <w:pStyle w:val="Tekstpodstawowy"/>
        <w:spacing w:before="6" w:line="247" w:lineRule="auto"/>
        <w:ind w:left="708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Należy także określić zasady postępowania w przypadku wystąpienia niepożądanych działań leków. W szpitalu opracowano i wdrożono procedurę postępowania z niewykorzystanymi leka</w:t>
      </w:r>
      <w:r>
        <w:rPr>
          <w:rFonts w:ascii="Calibri" w:hAnsi="Calibri" w:cs="Arial"/>
          <w:sz w:val="22"/>
        </w:rPr>
        <w:t>mi. Personel powinien uczestni</w:t>
      </w:r>
      <w:r w:rsidRPr="0020723B">
        <w:rPr>
          <w:rFonts w:ascii="Calibri" w:hAnsi="Calibri" w:cs="Arial"/>
          <w:sz w:val="22"/>
        </w:rPr>
        <w:t>czyć w szkoleniach dotyczących farmakoterapii.</w:t>
      </w:r>
    </w:p>
    <w:p w:rsidR="00F357C5" w:rsidRPr="0020723B" w:rsidRDefault="00F357C5" w:rsidP="00F357C5">
      <w:pPr>
        <w:pStyle w:val="Tekstpodstawowy"/>
        <w:rPr>
          <w:rFonts w:ascii="Calibri" w:hAnsi="Calibri" w:cs="Arial"/>
          <w:sz w:val="22"/>
        </w:rPr>
      </w:pPr>
    </w:p>
    <w:p w:rsidR="00F357C5" w:rsidRPr="0020723B" w:rsidRDefault="00F357C5" w:rsidP="00F357C5">
      <w:pPr>
        <w:pStyle w:val="Tekstpodstawowy"/>
        <w:spacing w:before="141"/>
        <w:rPr>
          <w:rFonts w:ascii="Calibri" w:hAnsi="Calibri" w:cs="Arial"/>
          <w:sz w:val="22"/>
        </w:rPr>
      </w:pPr>
    </w:p>
    <w:p w:rsidR="00F357C5" w:rsidRPr="0020723B" w:rsidRDefault="005520B0" w:rsidP="00F357C5">
      <w:pPr>
        <w:pStyle w:val="Heading4"/>
        <w:spacing w:line="194" w:lineRule="auto"/>
        <w:ind w:right="207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1766" o:spid="_x0000_s1026" type="#_x0000_t202" style="position:absolute;left:0;text-align:left;margin-left:85.05pt;margin-top:-14pt;width:45.4pt;height:54.3pt;z-index:251658240;mso-position-horizontal-relative:page" fillcolor="#bee3eb" stroked="f">
            <v:textbox inset="0,0,0,0">
              <w:txbxContent>
                <w:p w:rsidR="00F357C5" w:rsidRDefault="00F357C5" w:rsidP="00F357C5">
                  <w:pPr>
                    <w:pStyle w:val="Tekstpodstawowy"/>
                    <w:spacing w:before="95"/>
                    <w:rPr>
                      <w:rFonts w:ascii="Tahoma"/>
                      <w:b/>
                      <w:color w:val="000000"/>
                      <w:sz w:val="24"/>
                    </w:rPr>
                  </w:pPr>
                </w:p>
                <w:p w:rsidR="00F357C5" w:rsidRDefault="00F357C5" w:rsidP="00F357C5">
                  <w:pPr>
                    <w:ind w:left="228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FA</w:t>
                  </w:r>
                  <w:r>
                    <w:rPr>
                      <w:rFonts w:ascii="Arial Black"/>
                      <w:color w:val="072160"/>
                      <w:spacing w:val="-8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85"/>
                      <w:sz w:val="24"/>
                    </w:rPr>
                    <w:t>1</w:t>
                  </w:r>
                </w:p>
              </w:txbxContent>
            </v:textbox>
            <w10:wrap anchorx="page"/>
          </v:shape>
        </w:pict>
      </w:r>
      <w:r w:rsidR="00F357C5" w:rsidRPr="0020723B">
        <w:rPr>
          <w:rFonts w:ascii="Calibri" w:hAnsi="Calibri" w:cs="Arial"/>
          <w:color w:val="072160"/>
          <w:sz w:val="22"/>
          <w:szCs w:val="20"/>
        </w:rPr>
        <w:t>SZPITAL PROWADZI NADZÓR NAD STOSOWANĄ FARMAKOTERAPIĄ.</w:t>
      </w:r>
    </w:p>
    <w:p w:rsidR="00F357C5" w:rsidRPr="0020723B" w:rsidRDefault="00F357C5" w:rsidP="00F357C5">
      <w:pPr>
        <w:pStyle w:val="Tekstpodstawowy"/>
        <w:spacing w:before="21"/>
        <w:rPr>
          <w:rFonts w:ascii="Calibri" w:hAnsi="Calibri" w:cs="Arial"/>
          <w:sz w:val="22"/>
        </w:rPr>
      </w:pPr>
    </w:p>
    <w:p w:rsidR="00F357C5" w:rsidRPr="0020723B" w:rsidRDefault="00F357C5" w:rsidP="00F357C5">
      <w:pPr>
        <w:pStyle w:val="Heading6"/>
        <w:numPr>
          <w:ilvl w:val="0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F357C5" w:rsidRPr="0020723B" w:rsidRDefault="00F357C5" w:rsidP="00F357C5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Szpital nadzoruje stosowaną farmakoterapię poprzez tworzenie polityki lekowej i dokonywanie okresowej oceny farmakoterapii w formie przeglądu co najmniej </w:t>
      </w:r>
      <w:r w:rsidR="003A4A3B">
        <w:rPr>
          <w:rFonts w:ascii="Calibri" w:hAnsi="Calibri" w:cs="Arial"/>
          <w:sz w:val="22"/>
        </w:rPr>
        <w:t>10 historii chorób w każdym od</w:t>
      </w:r>
      <w:r w:rsidRPr="0020723B">
        <w:rPr>
          <w:rFonts w:ascii="Calibri" w:hAnsi="Calibri" w:cs="Arial"/>
          <w:sz w:val="22"/>
        </w:rPr>
        <w:t>dziale co najmniej raz na kwartał. Ocena powinna być prowadzona na podstawie losowo wybranej dokumentacji medycznej w zakresie:</w:t>
      </w:r>
    </w:p>
    <w:p w:rsidR="00F357C5" w:rsidRPr="0020723B" w:rsidRDefault="00F357C5" w:rsidP="00F357C5">
      <w:pPr>
        <w:pStyle w:val="Akapitzlist"/>
        <w:numPr>
          <w:ilvl w:val="1"/>
          <w:numId w:val="1"/>
        </w:numPr>
        <w:tabs>
          <w:tab w:val="left" w:pos="2181"/>
        </w:tabs>
        <w:spacing w:line="233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zasadności stosowania leków;</w:t>
      </w:r>
    </w:p>
    <w:p w:rsidR="00F357C5" w:rsidRPr="0020723B" w:rsidRDefault="00F357C5" w:rsidP="00F357C5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monitorowania przymusu farmakologicznego;</w:t>
      </w:r>
    </w:p>
    <w:p w:rsidR="00F357C5" w:rsidRPr="0020723B" w:rsidRDefault="00F357C5" w:rsidP="00F357C5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częstości przypadków </w:t>
      </w:r>
      <w:proofErr w:type="spellStart"/>
      <w:r w:rsidRPr="0020723B">
        <w:rPr>
          <w:rFonts w:ascii="Calibri" w:hAnsi="Calibri" w:cs="Arial"/>
          <w:szCs w:val="20"/>
        </w:rPr>
        <w:t>polipragmazji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F357C5" w:rsidRPr="0020723B" w:rsidRDefault="00F357C5" w:rsidP="00F357C5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skojarzeń połączeń jednoczasowo stosowanych leków, charakteryzujących się dużym ryzykiem wystąpienia niekorzystnych efektów ubocznych terapii;</w:t>
      </w:r>
    </w:p>
    <w:p w:rsidR="00F357C5" w:rsidRPr="0020723B" w:rsidRDefault="00F357C5" w:rsidP="00F357C5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monitorowania stężenia leków, dla których są wskazania do monitorowania zgodnie </w:t>
      </w:r>
      <w:r w:rsidR="007C61F8">
        <w:rPr>
          <w:rFonts w:ascii="Calibri" w:hAnsi="Calibri" w:cs="Arial"/>
          <w:szCs w:val="20"/>
        </w:rPr>
        <w:t>z za</w:t>
      </w:r>
      <w:r w:rsidRPr="0020723B">
        <w:rPr>
          <w:rFonts w:ascii="Calibri" w:hAnsi="Calibri" w:cs="Arial"/>
          <w:szCs w:val="20"/>
        </w:rPr>
        <w:t>sadami terapii monitorowanej stężeniem leku (np. antybiotyki, leki immunosupresyjne, leki cytostatyczne, leki nasercowe, leki przeciwpadaczkowe, inne).</w:t>
      </w:r>
    </w:p>
    <w:p w:rsidR="00F357C5" w:rsidRPr="0020723B" w:rsidRDefault="00F357C5" w:rsidP="00F357C5">
      <w:pPr>
        <w:pStyle w:val="Tekstpodstawowy"/>
        <w:spacing w:before="229" w:line="247" w:lineRule="auto"/>
        <w:ind w:left="1842" w:right="139" w:hanging="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Nadzór nad farmakoterapią pełni zespół terapeutyczny. W skła</w:t>
      </w:r>
      <w:r>
        <w:rPr>
          <w:rFonts w:ascii="Calibri" w:hAnsi="Calibri" w:cs="Arial"/>
          <w:sz w:val="22"/>
        </w:rPr>
        <w:t>d zespołu terapeutycznego wcho</w:t>
      </w:r>
      <w:r w:rsidRPr="0020723B">
        <w:rPr>
          <w:rFonts w:ascii="Calibri" w:hAnsi="Calibri" w:cs="Arial"/>
          <w:sz w:val="22"/>
        </w:rPr>
        <w:t>dzi min. diagnosta laboratoryjny odpowiedzialny za prowadzenie oznaczeń leków we krwi dla potrzeb terapii monitorowanej.</w:t>
      </w:r>
    </w:p>
    <w:p w:rsidR="00F357C5" w:rsidRPr="0020723B" w:rsidRDefault="00F357C5" w:rsidP="00F357C5">
      <w:pPr>
        <w:pStyle w:val="Heading6"/>
        <w:numPr>
          <w:ilvl w:val="0"/>
          <w:numId w:val="1"/>
        </w:numPr>
        <w:tabs>
          <w:tab w:val="left" w:pos="1841"/>
        </w:tabs>
        <w:spacing w:before="166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F357C5" w:rsidRPr="0020723B" w:rsidRDefault="00F357C5" w:rsidP="00F357C5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F357C5" w:rsidRPr="0020723B" w:rsidRDefault="00F357C5" w:rsidP="00F357C5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F357C5" w:rsidRPr="0020723B" w:rsidRDefault="00F357C5" w:rsidP="00F357C5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terapeutycznym.</w:t>
      </w:r>
    </w:p>
    <w:p w:rsidR="00F357C5" w:rsidRPr="0020723B" w:rsidRDefault="00F357C5" w:rsidP="00F357C5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F357C5" w:rsidRPr="0020723B" w:rsidRDefault="00F357C5" w:rsidP="00F357C5">
      <w:pPr>
        <w:pStyle w:val="Tekstpodstawowy"/>
        <w:tabs>
          <w:tab w:val="left" w:pos="2182"/>
        </w:tabs>
        <w:spacing w:before="205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lastRenderedPageBreak/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prowadzi nadzór nad stosowaną farmakoterapią zgodnie z wymogami standardu.</w:t>
      </w:r>
    </w:p>
    <w:p w:rsidR="00F357C5" w:rsidRPr="0020723B" w:rsidRDefault="00F357C5" w:rsidP="00F357C5">
      <w:pPr>
        <w:pStyle w:val="Tekstpodstawowy"/>
        <w:tabs>
          <w:tab w:val="left" w:pos="2182"/>
        </w:tabs>
        <w:spacing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prowadzi nadzoru nad stosowaną farmakoterapią zgodnie z wymogami standardu.</w:t>
      </w:r>
    </w:p>
    <w:p w:rsidR="00F357C5" w:rsidRPr="0020723B" w:rsidRDefault="00F357C5" w:rsidP="00F357C5">
      <w:pPr>
        <w:pStyle w:val="Tekstpodstawowy"/>
        <w:spacing w:before="3"/>
        <w:rPr>
          <w:rFonts w:ascii="Calibri" w:hAnsi="Calibri" w:cs="Arial"/>
          <w:sz w:val="22"/>
        </w:rPr>
      </w:pPr>
    </w:p>
    <w:p w:rsidR="00F357C5" w:rsidRPr="0020723B" w:rsidRDefault="00F357C5" w:rsidP="00F357C5">
      <w:pPr>
        <w:pStyle w:val="Heading9"/>
        <w:spacing w:before="1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F357C5" w:rsidRDefault="00F357C5" w:rsidP="00F357C5"/>
    <w:p w:rsidR="00427D73" w:rsidRDefault="007C61F8"/>
    <w:sectPr w:rsidR="00427D73" w:rsidSect="000015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802E5D"/>
    <w:multiLevelType w:val="hybridMultilevel"/>
    <w:tmpl w:val="BA7EFCEA"/>
    <w:lvl w:ilvl="0" w:tplc="5F9084F4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27AC52AC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23DC2A1A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72B4DD7A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4AD8B392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64E64A82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CD945B26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26EED84E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D99A99BA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F357C5"/>
    <w:rsid w:val="000015BC"/>
    <w:rsid w:val="000745AD"/>
    <w:rsid w:val="003A4A3B"/>
    <w:rsid w:val="00545781"/>
    <w:rsid w:val="005520B0"/>
    <w:rsid w:val="00682510"/>
    <w:rsid w:val="007C61F8"/>
    <w:rsid w:val="00A54A24"/>
    <w:rsid w:val="00F357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F357C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F357C5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F357C5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F357C5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F357C5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F357C5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F357C5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2025-07-28T12:32:00Z</dcterms:created>
  <dcterms:modified xsi:type="dcterms:W3CDTF">2025-07-28T12:35:00Z</dcterms:modified>
</cp:coreProperties>
</file>