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456" w:rsidRPr="0020723B" w:rsidRDefault="00352456" w:rsidP="00352456">
      <w:pPr>
        <w:pStyle w:val="Tekstpodstawowy"/>
        <w:spacing w:before="18"/>
        <w:rPr>
          <w:rFonts w:ascii="Calibri" w:hAnsi="Calibri" w:cs="Arial"/>
          <w:sz w:val="22"/>
        </w:rPr>
      </w:pPr>
    </w:p>
    <w:p w:rsidR="00352456" w:rsidRPr="0020723B" w:rsidRDefault="00352456" w:rsidP="00352456">
      <w:pPr>
        <w:pStyle w:val="Heading4"/>
        <w:ind w:left="127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68" o:spid="_x0000_s1026" type="#_x0000_t202" style="position:absolute;left:0;text-align:left;margin-left:56.7pt;margin-top:-17.65pt;width:45.4pt;height:51.5pt;z-index:251660288;mso-position-horizontal-relative:page" fillcolor="#bee3eb" stroked="f">
            <v:textbox inset="0,0,0,0">
              <w:txbxContent>
                <w:p w:rsidR="00352456" w:rsidRDefault="00352456" w:rsidP="00352456">
                  <w:pPr>
                    <w:pStyle w:val="Tekstpodstawowy"/>
                    <w:spacing w:before="78"/>
                    <w:rPr>
                      <w:color w:val="000000"/>
                      <w:sz w:val="24"/>
                    </w:rPr>
                  </w:pPr>
                </w:p>
                <w:p w:rsidR="00352456" w:rsidRDefault="00352456" w:rsidP="00352456">
                  <w:pPr>
                    <w:ind w:left="205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FA</w:t>
                  </w:r>
                  <w:r>
                    <w:rPr>
                      <w:rFonts w:ascii="Arial Black"/>
                      <w:color w:val="072160"/>
                      <w:spacing w:val="-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5"/>
                      <w:sz w:val="24"/>
                    </w:rPr>
                    <w:t>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POSIADA RECEPTARIUSZ.</w:t>
      </w:r>
    </w:p>
    <w:p w:rsidR="00352456" w:rsidRPr="0020723B" w:rsidRDefault="00352456" w:rsidP="00352456">
      <w:pPr>
        <w:pStyle w:val="Tekstpodstawowy"/>
        <w:spacing w:before="89"/>
        <w:rPr>
          <w:rFonts w:ascii="Calibri" w:hAnsi="Calibri" w:cs="Arial"/>
          <w:sz w:val="22"/>
        </w:rPr>
      </w:pPr>
    </w:p>
    <w:p w:rsidR="00352456" w:rsidRPr="0020723B" w:rsidRDefault="00352456" w:rsidP="00352456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352456" w:rsidRPr="0020723B" w:rsidRDefault="00352456" w:rsidP="00352456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Receptariusz określa politykę stosowania leków oraz zasady prowadzenia racjonalnej gospodarki lekiem; powinien składać się co najmniej z dwóch części:</w:t>
      </w:r>
    </w:p>
    <w:p w:rsidR="00352456" w:rsidRPr="0020723B" w:rsidRDefault="00352456" w:rsidP="00352456">
      <w:pPr>
        <w:pStyle w:val="Akapitzlist"/>
        <w:numPr>
          <w:ilvl w:val="1"/>
          <w:numId w:val="1"/>
        </w:numPr>
        <w:tabs>
          <w:tab w:val="left" w:pos="1614"/>
        </w:tabs>
        <w:spacing w:before="230" w:line="240" w:lineRule="auto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ogólnej, zawierającej informacje o:</w:t>
      </w:r>
    </w:p>
    <w:p w:rsidR="00352456" w:rsidRPr="0020723B" w:rsidRDefault="00352456" w:rsidP="00352456">
      <w:pPr>
        <w:pStyle w:val="Akapitzlist"/>
        <w:numPr>
          <w:ilvl w:val="2"/>
          <w:numId w:val="1"/>
        </w:numPr>
        <w:tabs>
          <w:tab w:val="left" w:pos="1954"/>
        </w:tabs>
        <w:spacing w:before="7" w:line="240" w:lineRule="auto"/>
        <w:ind w:left="1954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wprowadzaniu i wykreślaniu leków z receptariusza,</w:t>
      </w:r>
    </w:p>
    <w:p w:rsidR="00352456" w:rsidRPr="0020723B" w:rsidRDefault="00352456" w:rsidP="00352456">
      <w:pPr>
        <w:pStyle w:val="Akapitzlist"/>
        <w:numPr>
          <w:ilvl w:val="2"/>
          <w:numId w:val="1"/>
        </w:numPr>
        <w:tabs>
          <w:tab w:val="left" w:pos="1954"/>
        </w:tabs>
        <w:spacing w:before="8" w:line="240" w:lineRule="auto"/>
        <w:ind w:left="1954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stosowaniu leków spoza receptariusza,</w:t>
      </w:r>
    </w:p>
    <w:p w:rsidR="00352456" w:rsidRPr="0020723B" w:rsidRDefault="00352456" w:rsidP="00352456">
      <w:pPr>
        <w:pStyle w:val="Akapitzlist"/>
        <w:numPr>
          <w:ilvl w:val="2"/>
          <w:numId w:val="1"/>
        </w:numPr>
        <w:tabs>
          <w:tab w:val="left" w:pos="1955"/>
        </w:tabs>
        <w:spacing w:before="8" w:line="240" w:lineRule="auto"/>
        <w:ind w:hanging="3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pozyskiwaniu leków w trybie nagłym,</w:t>
      </w:r>
    </w:p>
    <w:p w:rsidR="00352456" w:rsidRPr="0020723B" w:rsidRDefault="00352456" w:rsidP="00352456">
      <w:pPr>
        <w:pStyle w:val="Akapitzlist"/>
        <w:numPr>
          <w:ilvl w:val="2"/>
          <w:numId w:val="1"/>
        </w:numPr>
        <w:tabs>
          <w:tab w:val="left" w:pos="1954"/>
        </w:tabs>
        <w:spacing w:before="8" w:line="240" w:lineRule="auto"/>
        <w:ind w:left="1954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podawaniu leków bez pisemnego zlecenia lekarskiego,</w:t>
      </w:r>
    </w:p>
    <w:p w:rsidR="00352456" w:rsidRPr="0020723B" w:rsidRDefault="00352456" w:rsidP="00352456">
      <w:pPr>
        <w:pStyle w:val="Akapitzlist"/>
        <w:numPr>
          <w:ilvl w:val="2"/>
          <w:numId w:val="1"/>
        </w:numPr>
        <w:tabs>
          <w:tab w:val="left" w:pos="1954"/>
        </w:tabs>
        <w:spacing w:before="8" w:line="240" w:lineRule="auto"/>
        <w:ind w:left="1954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niezbędnych warunkach przechowywania leków,</w:t>
      </w:r>
    </w:p>
    <w:p w:rsidR="00352456" w:rsidRPr="0020723B" w:rsidRDefault="00352456" w:rsidP="00352456">
      <w:pPr>
        <w:pStyle w:val="Akapitzlist"/>
        <w:numPr>
          <w:ilvl w:val="2"/>
          <w:numId w:val="1"/>
        </w:numPr>
        <w:tabs>
          <w:tab w:val="left" w:pos="1955"/>
        </w:tabs>
        <w:spacing w:before="7" w:line="240" w:lineRule="auto"/>
        <w:ind w:hanging="3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monitorowaniu i zgłaszaniu niepożądanych działań leków,</w:t>
      </w:r>
    </w:p>
    <w:p w:rsidR="00352456" w:rsidRPr="0020723B" w:rsidRDefault="00352456" w:rsidP="00352456">
      <w:pPr>
        <w:pStyle w:val="Akapitzlist"/>
        <w:numPr>
          <w:ilvl w:val="2"/>
          <w:numId w:val="1"/>
        </w:numPr>
        <w:tabs>
          <w:tab w:val="left" w:pos="1954"/>
        </w:tabs>
        <w:spacing w:before="8" w:line="240" w:lineRule="auto"/>
        <w:ind w:left="1954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stosowaniu leków poza zarejestrowanym wskazaniem (</w:t>
      </w:r>
      <w:proofErr w:type="spellStart"/>
      <w:r w:rsidRPr="0020723B">
        <w:rPr>
          <w:rFonts w:ascii="Calibri" w:hAnsi="Calibri" w:cs="Arial"/>
          <w:szCs w:val="20"/>
        </w:rPr>
        <w:t>off-label</w:t>
      </w:r>
      <w:proofErr w:type="spellEnd"/>
      <w:r w:rsidRPr="0020723B">
        <w:rPr>
          <w:rFonts w:ascii="Calibri" w:hAnsi="Calibri" w:cs="Arial"/>
          <w:szCs w:val="20"/>
        </w:rPr>
        <w:t>),</w:t>
      </w:r>
    </w:p>
    <w:p w:rsidR="00352456" w:rsidRPr="0020723B" w:rsidRDefault="00352456" w:rsidP="00352456">
      <w:pPr>
        <w:pStyle w:val="Akapitzlist"/>
        <w:numPr>
          <w:ilvl w:val="2"/>
          <w:numId w:val="1"/>
        </w:numPr>
        <w:tabs>
          <w:tab w:val="left" w:pos="1953"/>
          <w:tab w:val="left" w:pos="1955"/>
        </w:tabs>
        <w:spacing w:before="8"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przyjętych w szpitalu standardach farmakoterapii m.in. antybiotykoterapii, leczenia bólu (analgezji), zasadach prawidłowej podaży leków przez zgłębniki </w:t>
      </w:r>
      <w:proofErr w:type="spellStart"/>
      <w:r w:rsidRPr="0020723B">
        <w:rPr>
          <w:rFonts w:ascii="Calibri" w:hAnsi="Calibri" w:cs="Arial"/>
          <w:szCs w:val="20"/>
        </w:rPr>
        <w:t>enteralne</w:t>
      </w:r>
      <w:proofErr w:type="spellEnd"/>
      <w:r w:rsidRPr="0020723B">
        <w:rPr>
          <w:rFonts w:ascii="Calibri" w:hAnsi="Calibri" w:cs="Arial"/>
          <w:szCs w:val="20"/>
        </w:rPr>
        <w:t>,</w:t>
      </w:r>
    </w:p>
    <w:p w:rsidR="00352456" w:rsidRPr="0020723B" w:rsidRDefault="00352456" w:rsidP="00352456">
      <w:pPr>
        <w:pStyle w:val="Akapitzlist"/>
        <w:numPr>
          <w:ilvl w:val="2"/>
          <w:numId w:val="1"/>
        </w:numPr>
        <w:tabs>
          <w:tab w:val="left" w:pos="1955"/>
        </w:tabs>
        <w:spacing w:before="1"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informacje o równoważnych dawkach leków – co najmn</w:t>
      </w:r>
      <w:r>
        <w:rPr>
          <w:rFonts w:ascii="Calibri" w:hAnsi="Calibri" w:cs="Arial"/>
          <w:szCs w:val="20"/>
        </w:rPr>
        <w:t xml:space="preserve">iej dla </w:t>
      </w:r>
      <w:proofErr w:type="spellStart"/>
      <w:r>
        <w:rPr>
          <w:rFonts w:ascii="Calibri" w:hAnsi="Calibri" w:cs="Arial"/>
          <w:szCs w:val="20"/>
        </w:rPr>
        <w:t>statyn</w:t>
      </w:r>
      <w:proofErr w:type="spellEnd"/>
      <w:r>
        <w:rPr>
          <w:rFonts w:ascii="Calibri" w:hAnsi="Calibri" w:cs="Arial"/>
          <w:szCs w:val="20"/>
        </w:rPr>
        <w:t xml:space="preserve">, inhibitorów </w:t>
      </w:r>
      <w:proofErr w:type="spellStart"/>
      <w:r>
        <w:rPr>
          <w:rFonts w:ascii="Calibri" w:hAnsi="Calibri" w:cs="Arial"/>
          <w:szCs w:val="20"/>
        </w:rPr>
        <w:t>kon</w:t>
      </w:r>
      <w:r w:rsidRPr="0020723B">
        <w:rPr>
          <w:rFonts w:ascii="Calibri" w:hAnsi="Calibri" w:cs="Arial"/>
          <w:szCs w:val="20"/>
        </w:rPr>
        <w:t>wertazy</w:t>
      </w:r>
      <w:proofErr w:type="spellEnd"/>
      <w:r w:rsidRPr="0020723B">
        <w:rPr>
          <w:rFonts w:ascii="Calibri" w:hAnsi="Calibri" w:cs="Arial"/>
          <w:szCs w:val="20"/>
        </w:rPr>
        <w:t xml:space="preserve"> angiotensyny, </w:t>
      </w:r>
      <w:proofErr w:type="spellStart"/>
      <w:r w:rsidRPr="0020723B">
        <w:rPr>
          <w:rFonts w:ascii="Calibri" w:hAnsi="Calibri" w:cs="Arial"/>
          <w:szCs w:val="20"/>
        </w:rPr>
        <w:t>blokerów</w:t>
      </w:r>
      <w:proofErr w:type="spellEnd"/>
      <w:r w:rsidRPr="0020723B">
        <w:rPr>
          <w:rFonts w:ascii="Calibri" w:hAnsi="Calibri" w:cs="Arial"/>
          <w:szCs w:val="20"/>
        </w:rPr>
        <w:t xml:space="preserve"> receptora angiotensyny, </w:t>
      </w:r>
      <w:proofErr w:type="spellStart"/>
      <w:r w:rsidRPr="0020723B">
        <w:rPr>
          <w:rFonts w:ascii="Calibri" w:hAnsi="Calibri" w:cs="Arial"/>
          <w:szCs w:val="20"/>
        </w:rPr>
        <w:t>benzodiazepin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352456" w:rsidRPr="0020723B" w:rsidRDefault="00352456" w:rsidP="00352456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szczegółowej, będącej szpitalną listą leków (SLL). Leki powinny zostać podzielone wg przyjętej przez szpital klasyfikacji tak, aby podział odzwierciedlał praktykę stosowania farmakoterapii, np. według klasyfikacji </w:t>
      </w:r>
      <w:proofErr w:type="spellStart"/>
      <w:r w:rsidRPr="0020723B">
        <w:rPr>
          <w:rFonts w:ascii="Calibri" w:hAnsi="Calibri" w:cs="Arial"/>
          <w:szCs w:val="20"/>
        </w:rPr>
        <w:t>anatomiczno-terapeutyczno-chemicznej</w:t>
      </w:r>
      <w:proofErr w:type="spellEnd"/>
      <w:r w:rsidRPr="0020723B">
        <w:rPr>
          <w:rFonts w:ascii="Calibri" w:hAnsi="Calibri" w:cs="Arial"/>
          <w:szCs w:val="20"/>
        </w:rPr>
        <w:t xml:space="preserve"> (ATC).</w:t>
      </w:r>
    </w:p>
    <w:p w:rsidR="00352456" w:rsidRPr="0020723B" w:rsidRDefault="00352456" w:rsidP="00352456">
      <w:pPr>
        <w:pStyle w:val="Tekstpodstawowy"/>
        <w:spacing w:before="232" w:line="247" w:lineRule="auto"/>
        <w:ind w:left="1275" w:right="706" w:hanging="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Receptariusz powinien godzić przesłanki </w:t>
      </w:r>
      <w:proofErr w:type="spellStart"/>
      <w:r w:rsidRPr="0020723B">
        <w:rPr>
          <w:rFonts w:ascii="Calibri" w:hAnsi="Calibri" w:cs="Arial"/>
          <w:sz w:val="22"/>
        </w:rPr>
        <w:t>farmakoekonomiczne</w:t>
      </w:r>
      <w:proofErr w:type="spellEnd"/>
      <w:r w:rsidRPr="0020723B">
        <w:rPr>
          <w:rFonts w:ascii="Calibri" w:hAnsi="Calibri" w:cs="Arial"/>
          <w:sz w:val="22"/>
        </w:rPr>
        <w:t xml:space="preserve"> z dobrą praktyką farmakoterapii opartą na aktualnej wiedzy medycznej i bezpieczeństwie stosow</w:t>
      </w:r>
      <w:r>
        <w:rPr>
          <w:rFonts w:ascii="Calibri" w:hAnsi="Calibri" w:cs="Arial"/>
          <w:sz w:val="22"/>
        </w:rPr>
        <w:t>ania leków u pacjentów w szcze</w:t>
      </w:r>
      <w:r w:rsidRPr="0020723B">
        <w:rPr>
          <w:rFonts w:ascii="Calibri" w:hAnsi="Calibri" w:cs="Arial"/>
          <w:sz w:val="22"/>
        </w:rPr>
        <w:t>gólnych grupach np. niemowlęta, dzieci, kobiety ciężarne i karmiące, populacja senioralna, pacjenci z czynnikami ryzyka wystąpienia polekowych działań niepożądanych.</w:t>
      </w:r>
    </w:p>
    <w:p w:rsidR="00352456" w:rsidRPr="0020723B" w:rsidRDefault="00352456" w:rsidP="00352456">
      <w:pPr>
        <w:pStyle w:val="Tekstpodstawowy"/>
        <w:spacing w:before="3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Polityka lekowa szpitala nie może utrudniać dostępu lekarzy i pacjentów do koniecznych leków.</w:t>
      </w:r>
    </w:p>
    <w:p w:rsidR="00352456" w:rsidRPr="0020723B" w:rsidRDefault="00352456" w:rsidP="00352456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352456" w:rsidRPr="0020723B" w:rsidRDefault="00352456" w:rsidP="00352456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352456" w:rsidRPr="0020723B" w:rsidRDefault="00352456" w:rsidP="00352456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352456" w:rsidRPr="0020723B" w:rsidRDefault="00352456" w:rsidP="00352456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352456" w:rsidRPr="0020723B" w:rsidRDefault="00352456" w:rsidP="00352456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terapeutycznym.</w:t>
      </w:r>
    </w:p>
    <w:p w:rsidR="00352456" w:rsidRPr="0020723B" w:rsidRDefault="00352456" w:rsidP="00352456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352456" w:rsidRPr="0020723B" w:rsidRDefault="00352456" w:rsidP="00352456">
      <w:pPr>
        <w:pStyle w:val="Tekstpodstawowy"/>
        <w:tabs>
          <w:tab w:val="left" w:pos="1615"/>
        </w:tabs>
        <w:spacing w:before="205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posiada receptariusz opracowany zgodnie z wymogami standardu.</w:t>
      </w:r>
    </w:p>
    <w:p w:rsidR="00352456" w:rsidRPr="0020723B" w:rsidRDefault="00352456" w:rsidP="00352456">
      <w:pPr>
        <w:pStyle w:val="Tekstpodstawowy"/>
        <w:tabs>
          <w:tab w:val="left" w:pos="1615"/>
        </w:tabs>
        <w:spacing w:line="247" w:lineRule="auto"/>
        <w:ind w:left="1615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352456" w:rsidRPr="0020723B" w:rsidRDefault="00352456" w:rsidP="00352456">
      <w:pPr>
        <w:pStyle w:val="Tekstpodstawowy"/>
        <w:tabs>
          <w:tab w:val="left" w:pos="1615"/>
        </w:tabs>
        <w:spacing w:line="234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posiada receptariusza opracowanego zgodnie z wymogami standardu.</w:t>
      </w:r>
    </w:p>
    <w:p w:rsidR="00352456" w:rsidRPr="0020723B" w:rsidRDefault="00352456" w:rsidP="00352456">
      <w:pPr>
        <w:pStyle w:val="Heading6"/>
        <w:numPr>
          <w:ilvl w:val="0"/>
          <w:numId w:val="1"/>
        </w:numPr>
        <w:tabs>
          <w:tab w:val="left" w:pos="1275"/>
        </w:tabs>
        <w:spacing w:before="169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352456" w:rsidRPr="0020723B" w:rsidRDefault="00352456" w:rsidP="00352456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polityka stosowania leków jest określona w receptariuszu;</w:t>
      </w:r>
    </w:p>
    <w:p w:rsidR="00352456" w:rsidRPr="0020723B" w:rsidRDefault="00352456" w:rsidP="00352456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lastRenderedPageBreak/>
        <w:t>zasady prowadzenia racjonalnej gospodarki lekiem są określone w receptariuszu;</w:t>
      </w:r>
    </w:p>
    <w:p w:rsidR="00352456" w:rsidRPr="0020723B" w:rsidRDefault="00352456" w:rsidP="00352456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receptariusz składa się co najmniej z części ogólnej i szczegółowej, które zawierają informacje określone w opisie wymagań standardu;</w:t>
      </w:r>
    </w:p>
    <w:p w:rsidR="00352456" w:rsidRPr="0020723B" w:rsidRDefault="00352456" w:rsidP="00352456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2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receptariusz godzi przesłanki </w:t>
      </w:r>
      <w:proofErr w:type="spellStart"/>
      <w:r w:rsidRPr="0020723B">
        <w:rPr>
          <w:rFonts w:ascii="Calibri" w:hAnsi="Calibri" w:cs="Arial"/>
          <w:szCs w:val="20"/>
        </w:rPr>
        <w:t>farmakoekonomiczne</w:t>
      </w:r>
      <w:proofErr w:type="spellEnd"/>
      <w:r w:rsidRPr="0020723B">
        <w:rPr>
          <w:rFonts w:ascii="Calibri" w:hAnsi="Calibri" w:cs="Arial"/>
          <w:szCs w:val="20"/>
        </w:rPr>
        <w:t xml:space="preserve"> z dobrą praktyką farmakoterapii opartą na aktualnej wiedzy medycznej i bezpieczeństwie stosowania leków u pacjentów w szczególnych grupach, np. niemowlęta, dzieci, kobiety ciężarne i karmiące, populacja senioralna, pacjenci z czynnikami ryzyka wystąpienia polekowych działań niepożądanych;</w:t>
      </w:r>
    </w:p>
    <w:p w:rsidR="00352456" w:rsidRPr="0020723B" w:rsidRDefault="00352456" w:rsidP="00352456">
      <w:pPr>
        <w:pStyle w:val="Akapitzlist"/>
        <w:numPr>
          <w:ilvl w:val="1"/>
          <w:numId w:val="1"/>
        </w:numPr>
        <w:tabs>
          <w:tab w:val="left" w:pos="1615"/>
        </w:tabs>
        <w:spacing w:line="235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polityka lekowa szpitala nie utrudnia dostępu lekarzy i pacjentów do koniecznych leków.</w:t>
      </w:r>
    </w:p>
    <w:p w:rsidR="00352456" w:rsidRPr="0020723B" w:rsidRDefault="00352456" w:rsidP="00352456">
      <w:pPr>
        <w:pStyle w:val="Tekstpodstawowy"/>
        <w:spacing w:before="91"/>
        <w:ind w:left="1842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shape id="docshape1769" o:spid="_x0000_s1027" type="#_x0000_t202" style="position:absolute;left:0;text-align:left;margin-left:568.95pt;margin-top:425.8pt;width:24.4pt;height:49.95pt;z-index:251661312;mso-position-horizontal-relative:page;mso-position-vertical-relative:page" filled="f" stroked="f">
            <v:textbox style="layout-flow:vertical" inset="0,0,0,0">
              <w:txbxContent>
                <w:p w:rsidR="00352456" w:rsidRDefault="00352456" w:rsidP="00352456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2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FA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 w:val="22"/>
        </w:rPr>
        <w:t>Co najmniej 60% stanowi 3 kamienie milowe.</w:t>
      </w:r>
    </w:p>
    <w:p w:rsidR="00352456" w:rsidRPr="0020723B" w:rsidRDefault="00352456" w:rsidP="00352456">
      <w:pPr>
        <w:pStyle w:val="Tekstpodstawowy"/>
        <w:spacing w:before="3"/>
        <w:rPr>
          <w:rFonts w:ascii="Calibri" w:hAnsi="Calibri" w:cs="Arial"/>
          <w:sz w:val="22"/>
        </w:rPr>
      </w:pPr>
    </w:p>
    <w:p w:rsidR="00352456" w:rsidRPr="0020723B" w:rsidRDefault="00352456" w:rsidP="00352456">
      <w:pPr>
        <w:pStyle w:val="Heading9"/>
        <w:spacing w:before="1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352456"/>
    <w:sectPr w:rsidR="00427D73" w:rsidSect="000015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7434F9"/>
    <w:multiLevelType w:val="hybridMultilevel"/>
    <w:tmpl w:val="EA6CB250"/>
    <w:lvl w:ilvl="0" w:tplc="3CA03C90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BB24DDCE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EA24EC30">
      <w:start w:val="1"/>
      <w:numFmt w:val="lowerLetter"/>
      <w:lvlText w:val="%3)"/>
      <w:lvlJc w:val="left"/>
      <w:pPr>
        <w:ind w:left="1955" w:hanging="34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5"/>
        <w:sz w:val="20"/>
        <w:szCs w:val="20"/>
        <w:lang w:val="pl-PL" w:eastAsia="en-US" w:bidi="ar-SA"/>
      </w:rPr>
    </w:lvl>
    <w:lvl w:ilvl="3" w:tplc="B34884FC">
      <w:numFmt w:val="bullet"/>
      <w:lvlText w:val="•"/>
      <w:lvlJc w:val="left"/>
      <w:pPr>
        <w:ind w:left="2955" w:hanging="341"/>
      </w:pPr>
      <w:rPr>
        <w:rFonts w:hint="default"/>
        <w:lang w:val="pl-PL" w:eastAsia="en-US" w:bidi="ar-SA"/>
      </w:rPr>
    </w:lvl>
    <w:lvl w:ilvl="4" w:tplc="364C7400">
      <w:numFmt w:val="bullet"/>
      <w:lvlText w:val="•"/>
      <w:lvlJc w:val="left"/>
      <w:pPr>
        <w:ind w:left="3950" w:hanging="341"/>
      </w:pPr>
      <w:rPr>
        <w:rFonts w:hint="default"/>
        <w:lang w:val="pl-PL" w:eastAsia="en-US" w:bidi="ar-SA"/>
      </w:rPr>
    </w:lvl>
    <w:lvl w:ilvl="5" w:tplc="AE92A9B8">
      <w:numFmt w:val="bullet"/>
      <w:lvlText w:val="•"/>
      <w:lvlJc w:val="left"/>
      <w:pPr>
        <w:ind w:left="4945" w:hanging="341"/>
      </w:pPr>
      <w:rPr>
        <w:rFonts w:hint="default"/>
        <w:lang w:val="pl-PL" w:eastAsia="en-US" w:bidi="ar-SA"/>
      </w:rPr>
    </w:lvl>
    <w:lvl w:ilvl="6" w:tplc="632C1B14">
      <w:numFmt w:val="bullet"/>
      <w:lvlText w:val="•"/>
      <w:lvlJc w:val="left"/>
      <w:pPr>
        <w:ind w:left="5940" w:hanging="341"/>
      </w:pPr>
      <w:rPr>
        <w:rFonts w:hint="default"/>
        <w:lang w:val="pl-PL" w:eastAsia="en-US" w:bidi="ar-SA"/>
      </w:rPr>
    </w:lvl>
    <w:lvl w:ilvl="7" w:tplc="455E8CD2">
      <w:numFmt w:val="bullet"/>
      <w:lvlText w:val="•"/>
      <w:lvlJc w:val="left"/>
      <w:pPr>
        <w:ind w:left="6935" w:hanging="341"/>
      </w:pPr>
      <w:rPr>
        <w:rFonts w:hint="default"/>
        <w:lang w:val="pl-PL" w:eastAsia="en-US" w:bidi="ar-SA"/>
      </w:rPr>
    </w:lvl>
    <w:lvl w:ilvl="8" w:tplc="F4C27D26">
      <w:numFmt w:val="bullet"/>
      <w:lvlText w:val="•"/>
      <w:lvlJc w:val="left"/>
      <w:pPr>
        <w:ind w:left="7931" w:hanging="341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352456"/>
    <w:rsid w:val="000015BC"/>
    <w:rsid w:val="000745AD"/>
    <w:rsid w:val="00352456"/>
    <w:rsid w:val="006825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35245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352456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352456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352456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352456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352456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352456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2025-07-28T12:09:00Z</dcterms:created>
  <dcterms:modified xsi:type="dcterms:W3CDTF">2025-07-28T12:10:00Z</dcterms:modified>
</cp:coreProperties>
</file>