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066" w:rsidRPr="0020723B" w:rsidRDefault="00AB5066" w:rsidP="00AB5066">
      <w:pPr>
        <w:pStyle w:val="Tekstpodstawowy"/>
        <w:spacing w:before="323"/>
        <w:rPr>
          <w:rFonts w:ascii="Calibri" w:hAnsi="Calibri" w:cs="Arial"/>
          <w:sz w:val="22"/>
        </w:rPr>
      </w:pPr>
    </w:p>
    <w:p w:rsidR="00AB5066" w:rsidRPr="0020723B" w:rsidRDefault="00AB5066" w:rsidP="00AB5066">
      <w:pPr>
        <w:pStyle w:val="Heading4"/>
        <w:spacing w:line="194" w:lineRule="auto"/>
        <w:ind w:left="1862" w:right="115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56" o:spid="_x0000_s1026" type="#_x0000_t202" style="position:absolute;left:0;text-align:left;margin-left:86.05pt;margin-top:-9.55pt;width:45.4pt;height:45.4pt;z-index:251660288;mso-position-horizontal-relative:page" filled="f" strokecolor="#bee3eb" strokeweight="2pt">
            <v:textbox inset="0,0,0,0">
              <w:txbxContent>
                <w:p w:rsidR="00AB5066" w:rsidRDefault="00AB5066" w:rsidP="00AB5066">
                  <w:pPr>
                    <w:spacing w:before="275"/>
                    <w:ind w:left="10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2.1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ZASADY STOSOWANIA LEKÓW PRZECIWDROBNOUSTROJOWYCH.</w:t>
      </w:r>
    </w:p>
    <w:p w:rsidR="00AB5066" w:rsidRPr="0020723B" w:rsidRDefault="00AB5066" w:rsidP="00AB5066">
      <w:pPr>
        <w:pStyle w:val="Tekstpodstawowy"/>
        <w:spacing w:before="3"/>
        <w:rPr>
          <w:rFonts w:ascii="Calibri" w:hAnsi="Calibri" w:cs="Arial"/>
          <w:sz w:val="22"/>
        </w:rPr>
      </w:pPr>
    </w:p>
    <w:p w:rsidR="00AB5066" w:rsidRPr="0020723B" w:rsidRDefault="00AB5066" w:rsidP="00AB5066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AB5066" w:rsidRPr="0020723B" w:rsidRDefault="00AB5066" w:rsidP="00AB5066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Określenie zasad stosowania leków przeciwdrobnoustrojowych obejmuje: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2181"/>
        </w:tabs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szpitalną listę leków przeciwdrobnoustrojowych, tryb ich zamawiania i zasady stosowania;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468" w:right="13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rekomendacje dotyczące racjonalnej gospodarki lekami i w</w:t>
      </w:r>
      <w:r>
        <w:rPr>
          <w:rFonts w:ascii="Calibri" w:hAnsi="Calibri" w:cs="Arial"/>
          <w:szCs w:val="20"/>
        </w:rPr>
        <w:t>yrobami medycznymi przeciwdrob</w:t>
      </w:r>
      <w:r w:rsidRPr="0020723B">
        <w:rPr>
          <w:rFonts w:ascii="Calibri" w:hAnsi="Calibri" w:cs="Arial"/>
          <w:szCs w:val="20"/>
        </w:rPr>
        <w:t xml:space="preserve">noustrojowymi klasy II i III, w tym ich zlecanie i obrót w szpitalu. Leki przeciwbakteryjne, </w:t>
      </w:r>
      <w:proofErr w:type="spellStart"/>
      <w:r w:rsidRPr="0020723B">
        <w:rPr>
          <w:rFonts w:ascii="Calibri" w:hAnsi="Calibri" w:cs="Arial"/>
          <w:szCs w:val="20"/>
        </w:rPr>
        <w:t>przeciwgrzybicze</w:t>
      </w:r>
      <w:proofErr w:type="spellEnd"/>
      <w:r w:rsidRPr="0020723B">
        <w:rPr>
          <w:rFonts w:ascii="Calibri" w:hAnsi="Calibri" w:cs="Arial"/>
          <w:szCs w:val="20"/>
        </w:rPr>
        <w:t xml:space="preserve"> i przeciwwirusowe stosowane są zgodnie z aktualną wiedzą medyczną, ich wybór, dawkowanie oraz czas stosowania uwzględniają czynniki zależne od pacjenta jak i profil PK/PD stosowanych leków;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468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rekomendowany sposób zapobiegania powstawaniu lekooporności w wyniku niewłaściwego stosowania leków przeciwdrobnoustrojowych;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468" w:right="144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wytyczne dla empirycznej i </w:t>
      </w:r>
      <w:proofErr w:type="spellStart"/>
      <w:r w:rsidRPr="0020723B">
        <w:rPr>
          <w:rFonts w:ascii="Calibri" w:hAnsi="Calibri" w:cs="Arial"/>
          <w:szCs w:val="20"/>
        </w:rPr>
        <w:t>celowanej</w:t>
      </w:r>
      <w:proofErr w:type="spellEnd"/>
      <w:r w:rsidRPr="0020723B">
        <w:rPr>
          <w:rFonts w:ascii="Calibri" w:hAnsi="Calibri" w:cs="Arial"/>
          <w:szCs w:val="20"/>
        </w:rPr>
        <w:t xml:space="preserve"> terapii zakażeń z uwzględnieniem danych miejscowych dotyczących fenotypu </w:t>
      </w:r>
      <w:proofErr w:type="spellStart"/>
      <w:r w:rsidRPr="0020723B">
        <w:rPr>
          <w:rFonts w:ascii="Calibri" w:hAnsi="Calibri" w:cs="Arial"/>
          <w:szCs w:val="20"/>
        </w:rPr>
        <w:t>lekowrażliwości</w:t>
      </w:r>
      <w:proofErr w:type="spellEnd"/>
      <w:r w:rsidRPr="0020723B">
        <w:rPr>
          <w:rFonts w:ascii="Calibri" w:hAnsi="Calibri" w:cs="Arial"/>
          <w:szCs w:val="20"/>
        </w:rPr>
        <w:t xml:space="preserve"> drobnoustrojów.</w:t>
      </w:r>
    </w:p>
    <w:p w:rsidR="00AB5066" w:rsidRPr="0020723B" w:rsidRDefault="00AB5066" w:rsidP="00AB5066">
      <w:pPr>
        <w:pStyle w:val="Tekstpodstawowy"/>
        <w:spacing w:before="91" w:line="247" w:lineRule="auto"/>
        <w:ind w:left="2082" w:right="706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857" o:spid="_x0000_s1027" style="position:absolute;left:0;text-align:left;margin-left:0;margin-top:522.4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W szpitalu określono wykaz leków przeciwdrobnoustrojowych zastrzeżonych do stosowania we- dług przyjętych wytycznych, zgodnych z aktualną wiedzą medyczną w tym zakresie oraz lokalną sytuacją epidemiologiczną.</w:t>
      </w:r>
    </w:p>
    <w:p w:rsidR="00AB5066" w:rsidRPr="0020723B" w:rsidRDefault="00AB5066" w:rsidP="00AB5066">
      <w:pPr>
        <w:pStyle w:val="Tekstpodstawowy"/>
        <w:spacing w:before="10"/>
        <w:ind w:left="849"/>
        <w:rPr>
          <w:rFonts w:ascii="Calibri" w:hAnsi="Calibri" w:cs="Arial"/>
          <w:sz w:val="22"/>
        </w:rPr>
      </w:pPr>
    </w:p>
    <w:p w:rsidR="00AB5066" w:rsidRPr="0020723B" w:rsidRDefault="00AB5066" w:rsidP="00AB5066">
      <w:pPr>
        <w:pStyle w:val="Tekstpodstawowy"/>
        <w:spacing w:before="1" w:line="247" w:lineRule="auto"/>
        <w:ind w:left="2124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Pacjenci są leczeni zgodnie z przyjętymi zasadami, z tym zastrzeżeniem, że zasady te nie mogą ograniczać dostępności do leków, w sytuacjach w których są one wymagane.</w:t>
      </w:r>
    </w:p>
    <w:p w:rsidR="00AB5066" w:rsidRPr="0020723B" w:rsidRDefault="00AB5066" w:rsidP="00AB5066">
      <w:pPr>
        <w:pStyle w:val="Tekstpodstawowy"/>
        <w:spacing w:before="1" w:line="247" w:lineRule="auto"/>
        <w:ind w:left="2124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prowadzi ocenę wdrożenia zasad stosowania leków przeciwdrobnoustrojowych, co jest udokumentowane.</w:t>
      </w:r>
    </w:p>
    <w:p w:rsidR="00AB5066" w:rsidRPr="0020723B" w:rsidRDefault="00AB5066" w:rsidP="00AB5066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216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250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1614"/>
        </w:tabs>
        <w:ind w:left="250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AB5066" w:rsidRPr="0020723B" w:rsidRDefault="00AB5066" w:rsidP="00AB5066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50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AB5066" w:rsidRPr="0020723B" w:rsidRDefault="00AB5066" w:rsidP="00AB5066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216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AB5066" w:rsidRPr="0020723B" w:rsidRDefault="00AB5066" w:rsidP="00AB5066">
      <w:pPr>
        <w:pStyle w:val="Tekstpodstawowy"/>
        <w:tabs>
          <w:tab w:val="left" w:pos="1615"/>
        </w:tabs>
        <w:spacing w:before="205" w:line="247" w:lineRule="auto"/>
        <w:ind w:left="2502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zasady stosowania leków przeciwd</w:t>
      </w:r>
      <w:r>
        <w:rPr>
          <w:rFonts w:ascii="Calibri" w:hAnsi="Calibri" w:cs="Arial"/>
          <w:sz w:val="22"/>
        </w:rPr>
        <w:t>robnoustrojowych zgodnie z wymo</w:t>
      </w:r>
      <w:r w:rsidRPr="0020723B">
        <w:rPr>
          <w:rFonts w:ascii="Calibri" w:hAnsi="Calibri" w:cs="Arial"/>
          <w:sz w:val="22"/>
        </w:rPr>
        <w:t>gami standardu; pacjenci są leczeni zgodnie z wyżej wymienionymi zasadami.</w:t>
      </w:r>
    </w:p>
    <w:p w:rsidR="00AB5066" w:rsidRPr="0020723B" w:rsidRDefault="00AB5066" w:rsidP="00AB5066">
      <w:pPr>
        <w:pStyle w:val="Tekstpodstawowy"/>
        <w:tabs>
          <w:tab w:val="left" w:pos="1615"/>
        </w:tabs>
        <w:spacing w:line="247" w:lineRule="auto"/>
        <w:ind w:left="2502" w:right="713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opracowano zasady stosowania leków przeciwdrobnoustrojowych, jednak nie zawsze są one stosowane.</w:t>
      </w:r>
    </w:p>
    <w:p w:rsidR="00AB5066" w:rsidRPr="0020723B" w:rsidRDefault="00AB5066" w:rsidP="00AB5066">
      <w:pPr>
        <w:pStyle w:val="Tekstpodstawowy"/>
        <w:tabs>
          <w:tab w:val="left" w:pos="1615"/>
        </w:tabs>
        <w:spacing w:line="247" w:lineRule="auto"/>
        <w:ind w:left="2502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opracowano zasad stosowania leków przeciwdrobnoustrojowych zgodnie z wymogami standardu.</w:t>
      </w:r>
    </w:p>
    <w:p w:rsidR="00AB5066" w:rsidRPr="0020723B" w:rsidRDefault="00AB5066" w:rsidP="00AB5066">
      <w:pPr>
        <w:pStyle w:val="Heading9"/>
        <w:spacing w:before="207"/>
        <w:ind w:left="2162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A91997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23682"/>
    <w:multiLevelType w:val="hybridMultilevel"/>
    <w:tmpl w:val="B07E447E"/>
    <w:lvl w:ilvl="0" w:tplc="24D0A4CC">
      <w:start w:val="1"/>
      <w:numFmt w:val="decimal"/>
      <w:lvlText w:val="%1."/>
      <w:lvlJc w:val="left"/>
      <w:pPr>
        <w:ind w:left="2170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B3407D2">
      <w:start w:val="1"/>
      <w:numFmt w:val="decimal"/>
      <w:lvlText w:val="%2)"/>
      <w:lvlJc w:val="left"/>
      <w:pPr>
        <w:ind w:left="2510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566E012">
      <w:numFmt w:val="bullet"/>
      <w:lvlText w:val="•"/>
      <w:lvlJc w:val="left"/>
      <w:pPr>
        <w:ind w:left="2508" w:hanging="344"/>
      </w:pPr>
      <w:rPr>
        <w:rFonts w:hint="default"/>
        <w:lang w:val="pl-PL" w:eastAsia="en-US" w:bidi="ar-SA"/>
      </w:rPr>
    </w:lvl>
    <w:lvl w:ilvl="3" w:tplc="9BE638C8">
      <w:numFmt w:val="bullet"/>
      <w:lvlText w:val="•"/>
      <w:lvlJc w:val="left"/>
      <w:pPr>
        <w:ind w:left="3475" w:hanging="344"/>
      </w:pPr>
      <w:rPr>
        <w:rFonts w:hint="default"/>
        <w:lang w:val="pl-PL" w:eastAsia="en-US" w:bidi="ar-SA"/>
      </w:rPr>
    </w:lvl>
    <w:lvl w:ilvl="4" w:tplc="E30E281E">
      <w:numFmt w:val="bullet"/>
      <w:lvlText w:val="•"/>
      <w:lvlJc w:val="left"/>
      <w:pPr>
        <w:ind w:left="4443" w:hanging="344"/>
      </w:pPr>
      <w:rPr>
        <w:rFonts w:hint="default"/>
        <w:lang w:val="pl-PL" w:eastAsia="en-US" w:bidi="ar-SA"/>
      </w:rPr>
    </w:lvl>
    <w:lvl w:ilvl="5" w:tplc="9364EB64">
      <w:numFmt w:val="bullet"/>
      <w:lvlText w:val="•"/>
      <w:lvlJc w:val="left"/>
      <w:pPr>
        <w:ind w:left="5411" w:hanging="344"/>
      </w:pPr>
      <w:rPr>
        <w:rFonts w:hint="default"/>
        <w:lang w:val="pl-PL" w:eastAsia="en-US" w:bidi="ar-SA"/>
      </w:rPr>
    </w:lvl>
    <w:lvl w:ilvl="6" w:tplc="DB4A481C">
      <w:numFmt w:val="bullet"/>
      <w:lvlText w:val="•"/>
      <w:lvlJc w:val="left"/>
      <w:pPr>
        <w:ind w:left="6378" w:hanging="344"/>
      </w:pPr>
      <w:rPr>
        <w:rFonts w:hint="default"/>
        <w:lang w:val="pl-PL" w:eastAsia="en-US" w:bidi="ar-SA"/>
      </w:rPr>
    </w:lvl>
    <w:lvl w:ilvl="7" w:tplc="BFEA0B40">
      <w:numFmt w:val="bullet"/>
      <w:lvlText w:val="•"/>
      <w:lvlJc w:val="left"/>
      <w:pPr>
        <w:ind w:left="7346" w:hanging="344"/>
      </w:pPr>
      <w:rPr>
        <w:rFonts w:hint="default"/>
        <w:lang w:val="pl-PL" w:eastAsia="en-US" w:bidi="ar-SA"/>
      </w:rPr>
    </w:lvl>
    <w:lvl w:ilvl="8" w:tplc="E3FCF18E">
      <w:numFmt w:val="bullet"/>
      <w:lvlText w:val="•"/>
      <w:lvlJc w:val="left"/>
      <w:pPr>
        <w:ind w:left="8314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B5066"/>
    <w:rsid w:val="000745AD"/>
    <w:rsid w:val="00682510"/>
    <w:rsid w:val="00A91997"/>
    <w:rsid w:val="00A95332"/>
    <w:rsid w:val="00AB5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AB506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AB506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AB506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AB506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AB506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AB506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AB506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2025-07-31T12:26:00Z</dcterms:created>
  <dcterms:modified xsi:type="dcterms:W3CDTF">2025-07-31T12:27:00Z</dcterms:modified>
</cp:coreProperties>
</file>