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294B" w:rsidRPr="0020723B" w:rsidRDefault="007D294B" w:rsidP="007D294B">
      <w:pPr>
        <w:pStyle w:val="Heading4"/>
        <w:spacing w:before="328" w:line="357" w:lineRule="exact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805" o:spid="_x0000_s1026" type="#_x0000_t202" style="position:absolute;left:0;text-align:left;margin-left:85.05pt;margin-top:.15pt;width:45.4pt;height:64.7pt;z-index:251660288;mso-position-horizontal-relative:page" fillcolor="#bee3eb" stroked="f">
            <v:textbox inset="0,0,0,0">
              <w:txbxContent>
                <w:p w:rsidR="007D294B" w:rsidRDefault="007D294B" w:rsidP="007D294B">
                  <w:pPr>
                    <w:pStyle w:val="Tekstpodstawowy"/>
                    <w:spacing w:before="209"/>
                    <w:rPr>
                      <w:color w:val="000000"/>
                      <w:sz w:val="24"/>
                    </w:rPr>
                  </w:pPr>
                </w:p>
                <w:p w:rsidR="007D294B" w:rsidRDefault="007D294B" w:rsidP="007D294B">
                  <w:pPr>
                    <w:spacing w:before="1"/>
                    <w:ind w:left="226"/>
                    <w:rPr>
                      <w:rFonts w:ascii="Arial Black" w:hAnsi="Arial Black"/>
                      <w:color w:val="000000"/>
                      <w:sz w:val="24"/>
                    </w:rPr>
                  </w:pPr>
                  <w:r>
                    <w:rPr>
                      <w:rFonts w:ascii="Arial Black" w:hAnsi="Arial Black"/>
                      <w:color w:val="072160"/>
                      <w:w w:val="75"/>
                      <w:sz w:val="24"/>
                    </w:rPr>
                    <w:t>LŻ</w:t>
                  </w:r>
                  <w:r>
                    <w:rPr>
                      <w:rFonts w:ascii="Arial Black" w:hAnsi="Arial Black"/>
                      <w:color w:val="072160"/>
                      <w:spacing w:val="-4"/>
                      <w:w w:val="75"/>
                      <w:sz w:val="24"/>
                    </w:rPr>
                    <w:t xml:space="preserve"> </w:t>
                  </w:r>
                  <w:r>
                    <w:rPr>
                      <w:rFonts w:ascii="Arial Black" w:hAnsi="Arial Black"/>
                      <w:color w:val="072160"/>
                      <w:spacing w:val="-10"/>
                      <w:w w:val="95"/>
                      <w:sz w:val="24"/>
                    </w:rPr>
                    <w:t>3</w:t>
                  </w:r>
                </w:p>
              </w:txbxContent>
            </v:textbox>
            <w10:wrap anchorx="page"/>
          </v:shape>
        </w:pict>
      </w:r>
      <w:r>
        <w:rPr>
          <w:rFonts w:ascii="Calibri" w:hAnsi="Calibri" w:cs="Arial"/>
          <w:sz w:val="22"/>
          <w:szCs w:val="20"/>
        </w:rPr>
        <w:pict>
          <v:shape id="docshape1806" o:spid="_x0000_s1027" type="#_x0000_t202" style="position:absolute;left:0;text-align:left;margin-left:568.95pt;margin-top:473.5pt;width:24.4pt;height:49.95pt;z-index:251661312;mso-position-horizontal-relative:page;mso-position-vertical-relative:page" filled="f" stroked="f">
            <v:textbox style="layout-flow:vertical" inset="0,0,0,0">
              <w:txbxContent>
                <w:p w:rsidR="007D294B" w:rsidRDefault="007D294B" w:rsidP="007D294B">
                  <w:pPr>
                    <w:tabs>
                      <w:tab w:val="left" w:pos="319"/>
                      <w:tab w:val="left" w:pos="978"/>
                    </w:tabs>
                    <w:spacing w:before="4"/>
                    <w:ind w:left="20"/>
                    <w:rPr>
                      <w:rFonts w:ascii="Arial Black" w:hAnsi="Arial Black"/>
                      <w:sz w:val="32"/>
                    </w:rPr>
                  </w:pPr>
                  <w:r>
                    <w:rPr>
                      <w:rFonts w:ascii="Times New Roman" w:hAnsi="Times New Roman"/>
                      <w:color w:val="FFFFFF"/>
                      <w:sz w:val="32"/>
                      <w:shd w:val="clear" w:color="auto" w:fill="072160"/>
                    </w:rPr>
                    <w:tab/>
                  </w:r>
                  <w:r>
                    <w:rPr>
                      <w:rFonts w:ascii="Arial Black" w:hAnsi="Arial Black"/>
                      <w:color w:val="FFFFFF"/>
                      <w:spacing w:val="-5"/>
                      <w:w w:val="85"/>
                      <w:sz w:val="32"/>
                      <w:shd w:val="clear" w:color="auto" w:fill="072160"/>
                    </w:rPr>
                    <w:t>LŻ</w:t>
                  </w:r>
                  <w:r>
                    <w:rPr>
                      <w:rFonts w:ascii="Arial Black" w:hAnsi="Arial Black"/>
                      <w:color w:val="FFFFFF"/>
                      <w:sz w:val="32"/>
                      <w:shd w:val="clear" w:color="auto" w:fill="072160"/>
                    </w:rPr>
                    <w:tab/>
                  </w:r>
                </w:p>
              </w:txbxContent>
            </v:textbox>
            <w10:wrap anchorx="page" anchory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MONITORUJE WYNIKI I POWIKŁANIA TERAPII</w:t>
      </w:r>
    </w:p>
    <w:p w:rsidR="007D294B" w:rsidRPr="0020723B" w:rsidRDefault="007D294B" w:rsidP="007D294B">
      <w:pPr>
        <w:pStyle w:val="Heading4"/>
        <w:spacing w:line="357" w:lineRule="exac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ŻYWIENIOWYCH (STANDARD MOŻE BYĆ WYŁĄCZONY).</w:t>
      </w:r>
    </w:p>
    <w:p w:rsidR="007D294B" w:rsidRPr="0020723B" w:rsidRDefault="007D294B" w:rsidP="007D294B">
      <w:pPr>
        <w:pStyle w:val="Tekstpodstawowy"/>
        <w:spacing w:before="277"/>
        <w:rPr>
          <w:rFonts w:ascii="Calibri" w:hAnsi="Calibri" w:cs="Arial"/>
          <w:sz w:val="22"/>
        </w:rPr>
      </w:pPr>
    </w:p>
    <w:p w:rsidR="007D294B" w:rsidRPr="0020723B" w:rsidRDefault="007D294B" w:rsidP="007D294B">
      <w:pPr>
        <w:pStyle w:val="Heading6"/>
        <w:numPr>
          <w:ilvl w:val="2"/>
          <w:numId w:val="2"/>
        </w:numPr>
        <w:tabs>
          <w:tab w:val="left" w:pos="1842"/>
        </w:tabs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7D294B" w:rsidRPr="0020723B" w:rsidRDefault="007D294B" w:rsidP="007D294B">
      <w:pPr>
        <w:pStyle w:val="Tekstpodstawowy"/>
        <w:spacing w:before="218" w:line="247" w:lineRule="auto"/>
        <w:ind w:left="1842" w:right="138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monitoruje wyniki i powikłania prowadzonych terapii żywieniowych, zarówno dojelitowych jak i dożylnych, w oparciu o analizowanie dokumentacji medycznej. Monitorowanie żywienia obejmuje np.:</w:t>
      </w:r>
    </w:p>
    <w:p w:rsidR="007D294B" w:rsidRPr="0020723B" w:rsidRDefault="007D294B" w:rsidP="007D294B">
      <w:pPr>
        <w:pStyle w:val="Akapitzlist"/>
        <w:numPr>
          <w:ilvl w:val="3"/>
          <w:numId w:val="2"/>
        </w:numPr>
        <w:tabs>
          <w:tab w:val="left" w:pos="2181"/>
        </w:tabs>
        <w:spacing w:line="235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powikłania mechaniczne:</w:t>
      </w:r>
    </w:p>
    <w:p w:rsidR="007D294B" w:rsidRPr="0020723B" w:rsidRDefault="007D294B" w:rsidP="007D294B">
      <w:pPr>
        <w:pStyle w:val="Akapitzlist"/>
        <w:numPr>
          <w:ilvl w:val="4"/>
          <w:numId w:val="2"/>
        </w:numPr>
        <w:tabs>
          <w:tab w:val="left" w:pos="2521"/>
        </w:tabs>
        <w:spacing w:before="8" w:line="240" w:lineRule="auto"/>
        <w:ind w:left="2521" w:hanging="3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zatkanie sondy, drenu,</w:t>
      </w:r>
    </w:p>
    <w:p w:rsidR="007D294B" w:rsidRPr="0020723B" w:rsidRDefault="007D294B" w:rsidP="007D294B">
      <w:pPr>
        <w:pStyle w:val="Akapitzlist"/>
        <w:numPr>
          <w:ilvl w:val="4"/>
          <w:numId w:val="2"/>
        </w:numPr>
        <w:tabs>
          <w:tab w:val="left" w:pos="2521"/>
        </w:tabs>
        <w:spacing w:before="8" w:line="240" w:lineRule="auto"/>
        <w:ind w:left="2521" w:hanging="3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nieprawidłowe ułożenie drenu (oskrzela, opłucna),</w:t>
      </w:r>
    </w:p>
    <w:p w:rsidR="007D294B" w:rsidRPr="0020723B" w:rsidRDefault="007D294B" w:rsidP="007D294B">
      <w:pPr>
        <w:pStyle w:val="Akapitzlist"/>
        <w:numPr>
          <w:ilvl w:val="4"/>
          <w:numId w:val="2"/>
        </w:numPr>
        <w:tabs>
          <w:tab w:val="left" w:pos="2522"/>
        </w:tabs>
        <w:spacing w:before="8" w:line="240" w:lineRule="auto"/>
        <w:ind w:hanging="34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perforację przewodu pokarmowego,</w:t>
      </w:r>
    </w:p>
    <w:p w:rsidR="007D294B" w:rsidRPr="0020723B" w:rsidRDefault="007D294B" w:rsidP="007D294B">
      <w:pPr>
        <w:pStyle w:val="Akapitzlist"/>
        <w:numPr>
          <w:ilvl w:val="4"/>
          <w:numId w:val="2"/>
        </w:numPr>
        <w:tabs>
          <w:tab w:val="left" w:pos="2521"/>
        </w:tabs>
        <w:spacing w:before="7" w:line="240" w:lineRule="auto"/>
        <w:ind w:left="2521" w:hanging="3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wtórne przemieszczenie lub zapętlenie drenu,</w:t>
      </w:r>
    </w:p>
    <w:p w:rsidR="007D294B" w:rsidRPr="0020723B" w:rsidRDefault="007D294B" w:rsidP="007D294B">
      <w:pPr>
        <w:pStyle w:val="Akapitzlist"/>
        <w:numPr>
          <w:ilvl w:val="4"/>
          <w:numId w:val="2"/>
        </w:numPr>
        <w:tabs>
          <w:tab w:val="left" w:pos="2521"/>
        </w:tabs>
        <w:spacing w:before="8" w:line="240" w:lineRule="auto"/>
        <w:ind w:left="2521" w:hanging="3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przypadkowe usunięcie drenu,</w:t>
      </w:r>
    </w:p>
    <w:p w:rsidR="007D294B" w:rsidRPr="0020723B" w:rsidRDefault="007D294B" w:rsidP="007D294B">
      <w:pPr>
        <w:pStyle w:val="Akapitzlist"/>
        <w:numPr>
          <w:ilvl w:val="4"/>
          <w:numId w:val="2"/>
        </w:numPr>
        <w:tabs>
          <w:tab w:val="left" w:pos="2522"/>
        </w:tabs>
        <w:spacing w:before="8" w:line="240" w:lineRule="auto"/>
        <w:ind w:hanging="34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krwawienie z miejsca wprowadzenia drenu,</w:t>
      </w:r>
    </w:p>
    <w:p w:rsidR="007D294B" w:rsidRPr="0020723B" w:rsidRDefault="007D294B" w:rsidP="007D294B">
      <w:pPr>
        <w:pStyle w:val="Akapitzlist"/>
        <w:numPr>
          <w:ilvl w:val="4"/>
          <w:numId w:val="2"/>
        </w:numPr>
        <w:tabs>
          <w:tab w:val="left" w:pos="2521"/>
        </w:tabs>
        <w:spacing w:before="8" w:line="230" w:lineRule="exact"/>
        <w:ind w:left="2521" w:hanging="3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niedrożność mechaniczną jelit.</w:t>
      </w:r>
    </w:p>
    <w:p w:rsidR="007D294B" w:rsidRPr="0020723B" w:rsidRDefault="007D294B" w:rsidP="007D294B">
      <w:pPr>
        <w:pStyle w:val="Akapitzlist"/>
        <w:numPr>
          <w:ilvl w:val="3"/>
          <w:numId w:val="2"/>
        </w:numPr>
        <w:tabs>
          <w:tab w:val="left" w:pos="2182"/>
        </w:tabs>
        <w:spacing w:line="247" w:lineRule="auto"/>
        <w:ind w:right="1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powikłania funkcjonalne przewodu pokarmowego w przypadku żywienia dojelitowego np. biegunka, wymioty, zaparcia, zarzucanie i aspiracja diety, wzdęcia;</w:t>
      </w:r>
    </w:p>
    <w:p w:rsidR="007D294B" w:rsidRPr="0020723B" w:rsidRDefault="007D294B" w:rsidP="007D294B">
      <w:pPr>
        <w:pStyle w:val="Akapitzlist"/>
        <w:numPr>
          <w:ilvl w:val="3"/>
          <w:numId w:val="2"/>
        </w:numPr>
        <w:tabs>
          <w:tab w:val="left" w:pos="2181"/>
        </w:tabs>
        <w:spacing w:line="234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powikłania infekcyjne:</w:t>
      </w:r>
    </w:p>
    <w:p w:rsidR="007D294B" w:rsidRPr="0020723B" w:rsidRDefault="007D294B" w:rsidP="007D294B">
      <w:pPr>
        <w:pStyle w:val="Akapitzlist"/>
        <w:numPr>
          <w:ilvl w:val="4"/>
          <w:numId w:val="2"/>
        </w:numPr>
        <w:tabs>
          <w:tab w:val="left" w:pos="2521"/>
        </w:tabs>
        <w:spacing w:before="5" w:line="240" w:lineRule="auto"/>
        <w:ind w:left="2521" w:hanging="3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zakażenie miejsca wprowadzenia drenu,</w:t>
      </w:r>
    </w:p>
    <w:p w:rsidR="007D294B" w:rsidRPr="0020723B" w:rsidRDefault="007D294B" w:rsidP="007D294B">
      <w:pPr>
        <w:pStyle w:val="Akapitzlist"/>
        <w:numPr>
          <w:ilvl w:val="4"/>
          <w:numId w:val="2"/>
        </w:numPr>
        <w:tabs>
          <w:tab w:val="left" w:pos="2521"/>
        </w:tabs>
        <w:spacing w:before="8" w:line="240" w:lineRule="auto"/>
        <w:ind w:left="2521" w:hanging="3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zachłystowe zapalenie płuc,</w:t>
      </w:r>
    </w:p>
    <w:p w:rsidR="007D294B" w:rsidRDefault="007D294B" w:rsidP="007D294B">
      <w:pPr>
        <w:pStyle w:val="Akapitzlist"/>
        <w:numPr>
          <w:ilvl w:val="4"/>
          <w:numId w:val="2"/>
        </w:numPr>
        <w:tabs>
          <w:tab w:val="left" w:pos="2522"/>
        </w:tabs>
        <w:spacing w:before="8" w:line="240" w:lineRule="auto"/>
        <w:ind w:hanging="34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zapalenie </w:t>
      </w:r>
      <w:proofErr w:type="spellStart"/>
      <w:r w:rsidRPr="0020723B">
        <w:rPr>
          <w:rFonts w:ascii="Calibri" w:hAnsi="Calibri" w:cs="Arial"/>
          <w:szCs w:val="20"/>
        </w:rPr>
        <w:t>nosogardzieli</w:t>
      </w:r>
      <w:proofErr w:type="spellEnd"/>
      <w:r w:rsidRPr="0020723B">
        <w:rPr>
          <w:rFonts w:ascii="Calibri" w:hAnsi="Calibri" w:cs="Arial"/>
          <w:szCs w:val="20"/>
        </w:rPr>
        <w:t xml:space="preserve"> lub ucha środkowego,</w:t>
      </w:r>
    </w:p>
    <w:p w:rsidR="007D294B" w:rsidRPr="007D294B" w:rsidRDefault="007D294B" w:rsidP="007D294B">
      <w:pPr>
        <w:pStyle w:val="Akapitzlist"/>
        <w:numPr>
          <w:ilvl w:val="4"/>
          <w:numId w:val="2"/>
        </w:numPr>
        <w:tabs>
          <w:tab w:val="left" w:pos="339"/>
        </w:tabs>
        <w:spacing w:before="8" w:line="230" w:lineRule="exact"/>
        <w:ind w:right="5680"/>
        <w:jc w:val="both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zapalenie otrzewnej;</w:t>
      </w:r>
    </w:p>
    <w:p w:rsidR="007D294B" w:rsidRPr="0020723B" w:rsidRDefault="007D294B" w:rsidP="007D294B">
      <w:pPr>
        <w:pStyle w:val="Akapitzlist"/>
        <w:numPr>
          <w:ilvl w:val="3"/>
          <w:numId w:val="2"/>
        </w:numPr>
        <w:tabs>
          <w:tab w:val="left" w:pos="343"/>
        </w:tabs>
        <w:spacing w:line="242" w:lineRule="exact"/>
        <w:ind w:right="5607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powikłania metaboliczne:</w:t>
      </w:r>
    </w:p>
    <w:p w:rsidR="007D294B" w:rsidRPr="0020723B" w:rsidRDefault="007D294B" w:rsidP="007D294B">
      <w:pPr>
        <w:pStyle w:val="Akapitzlist"/>
        <w:numPr>
          <w:ilvl w:val="4"/>
          <w:numId w:val="2"/>
        </w:numPr>
        <w:tabs>
          <w:tab w:val="left" w:pos="2521"/>
        </w:tabs>
        <w:spacing w:before="7" w:line="240" w:lineRule="auto"/>
        <w:ind w:left="2521" w:hanging="3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zaburzenia elektrolitowe,</w:t>
      </w:r>
    </w:p>
    <w:p w:rsidR="007D294B" w:rsidRPr="0020723B" w:rsidRDefault="007D294B" w:rsidP="007D294B">
      <w:pPr>
        <w:pStyle w:val="Akapitzlist"/>
        <w:numPr>
          <w:ilvl w:val="4"/>
          <w:numId w:val="2"/>
        </w:numPr>
        <w:tabs>
          <w:tab w:val="left" w:pos="2521"/>
        </w:tabs>
        <w:spacing w:before="8" w:line="240" w:lineRule="auto"/>
        <w:ind w:left="2521" w:hanging="3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hiperglikemia,</w:t>
      </w:r>
    </w:p>
    <w:p w:rsidR="007D294B" w:rsidRPr="0020723B" w:rsidRDefault="007D294B" w:rsidP="007D294B">
      <w:pPr>
        <w:pStyle w:val="Akapitzlist"/>
        <w:numPr>
          <w:ilvl w:val="4"/>
          <w:numId w:val="2"/>
        </w:numPr>
        <w:tabs>
          <w:tab w:val="left" w:pos="2522"/>
        </w:tabs>
        <w:spacing w:before="8" w:line="240" w:lineRule="auto"/>
        <w:ind w:hanging="34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niedobór witamin,</w:t>
      </w:r>
    </w:p>
    <w:p w:rsidR="007D294B" w:rsidRPr="0020723B" w:rsidRDefault="007D294B" w:rsidP="007D294B">
      <w:pPr>
        <w:pStyle w:val="Akapitzlist"/>
        <w:numPr>
          <w:ilvl w:val="4"/>
          <w:numId w:val="2"/>
        </w:numPr>
        <w:tabs>
          <w:tab w:val="left" w:pos="2521"/>
        </w:tabs>
        <w:spacing w:before="8" w:line="240" w:lineRule="auto"/>
        <w:ind w:left="2521" w:hanging="3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niedobór pierwiastków śladowych,</w:t>
      </w:r>
    </w:p>
    <w:p w:rsidR="007D294B" w:rsidRPr="0020723B" w:rsidRDefault="007D294B" w:rsidP="007D294B">
      <w:pPr>
        <w:pStyle w:val="Akapitzlist"/>
        <w:numPr>
          <w:ilvl w:val="4"/>
          <w:numId w:val="2"/>
        </w:numPr>
        <w:tabs>
          <w:tab w:val="left" w:pos="2521"/>
        </w:tabs>
        <w:spacing w:before="7" w:line="240" w:lineRule="auto"/>
        <w:ind w:left="2521" w:hanging="3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zespół ponownego odżywienia.</w:t>
      </w:r>
    </w:p>
    <w:p w:rsidR="007D294B" w:rsidRPr="0020723B" w:rsidRDefault="007D294B" w:rsidP="007D294B">
      <w:pPr>
        <w:pStyle w:val="Tekstpodstawowy"/>
        <w:spacing w:before="16"/>
        <w:rPr>
          <w:rFonts w:ascii="Calibri" w:hAnsi="Calibri" w:cs="Arial"/>
          <w:sz w:val="22"/>
        </w:rPr>
      </w:pPr>
    </w:p>
    <w:p w:rsidR="007D294B" w:rsidRPr="0020723B" w:rsidRDefault="007D294B" w:rsidP="007D294B">
      <w:pPr>
        <w:pStyle w:val="Tekstpodstawowy"/>
        <w:spacing w:line="247" w:lineRule="auto"/>
        <w:ind w:left="1842" w:right="183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Monitorowanie powikłań żywienia pozajelitowego obejmuje przynajmniej powikłania związane z cewnikiem:</w:t>
      </w:r>
    </w:p>
    <w:p w:rsidR="007D294B" w:rsidRPr="0020723B" w:rsidRDefault="007D294B" w:rsidP="007D294B">
      <w:pPr>
        <w:pStyle w:val="Akapitzlist"/>
        <w:numPr>
          <w:ilvl w:val="0"/>
          <w:numId w:val="1"/>
        </w:numPr>
        <w:tabs>
          <w:tab w:val="left" w:pos="2180"/>
          <w:tab w:val="left" w:pos="2182"/>
        </w:tabs>
        <w:spacing w:line="247" w:lineRule="auto"/>
        <w:ind w:right="14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mechaniczne (odma, uszkodzenie cewnika, krwiak, uszkodzenie tkanek i naczyń itp. z podziałem na wczesne i późne);</w:t>
      </w:r>
    </w:p>
    <w:p w:rsidR="007D294B" w:rsidRPr="0020723B" w:rsidRDefault="007D294B" w:rsidP="007D294B">
      <w:pPr>
        <w:pStyle w:val="Akapitzlist"/>
        <w:numPr>
          <w:ilvl w:val="0"/>
          <w:numId w:val="1"/>
        </w:numPr>
        <w:tabs>
          <w:tab w:val="left" w:pos="2182"/>
        </w:tabs>
        <w:spacing w:line="231" w:lineRule="exact"/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infekcyjne (miejscowe, uogólnione, zakażenia cewnika);</w:t>
      </w:r>
    </w:p>
    <w:p w:rsidR="007D294B" w:rsidRPr="0020723B" w:rsidRDefault="007D294B" w:rsidP="007D294B">
      <w:pPr>
        <w:pStyle w:val="Akapitzlist"/>
        <w:numPr>
          <w:ilvl w:val="0"/>
          <w:numId w:val="1"/>
        </w:numPr>
        <w:tabs>
          <w:tab w:val="left" w:pos="2182"/>
        </w:tabs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metaboliczne;</w:t>
      </w:r>
    </w:p>
    <w:p w:rsidR="007D294B" w:rsidRPr="0020723B" w:rsidRDefault="007D294B" w:rsidP="007D294B">
      <w:pPr>
        <w:pStyle w:val="Akapitzlist"/>
        <w:numPr>
          <w:ilvl w:val="0"/>
          <w:numId w:val="1"/>
        </w:numPr>
        <w:tabs>
          <w:tab w:val="left" w:pos="2182"/>
        </w:tabs>
        <w:spacing w:line="242" w:lineRule="exact"/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inne.</w:t>
      </w:r>
    </w:p>
    <w:p w:rsidR="007D294B" w:rsidRPr="0020723B" w:rsidRDefault="007D294B" w:rsidP="007D294B">
      <w:pPr>
        <w:pStyle w:val="Tekstpodstawowy"/>
        <w:spacing w:before="5"/>
        <w:rPr>
          <w:rFonts w:ascii="Calibri" w:hAnsi="Calibri" w:cs="Arial"/>
          <w:sz w:val="22"/>
        </w:rPr>
      </w:pPr>
    </w:p>
    <w:p w:rsidR="007D294B" w:rsidRPr="0020723B" w:rsidRDefault="007D294B" w:rsidP="007D294B">
      <w:pPr>
        <w:pStyle w:val="Tekstpodstawowy"/>
        <w:spacing w:line="247" w:lineRule="auto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Analiza wyników i powikłań prowadzona jest raz w roku, a wyniki są przedstawiane kierującym oddziałami i służą do poprawy bezpieczeństwa stosowanych terapii żywieniowych.</w:t>
      </w:r>
    </w:p>
    <w:p w:rsidR="007D294B" w:rsidRPr="0020723B" w:rsidRDefault="007D294B" w:rsidP="007D294B">
      <w:pPr>
        <w:pStyle w:val="Heading6"/>
        <w:numPr>
          <w:ilvl w:val="2"/>
          <w:numId w:val="2"/>
        </w:numPr>
        <w:tabs>
          <w:tab w:val="left" w:pos="1882"/>
        </w:tabs>
        <w:spacing w:before="165"/>
        <w:ind w:left="1882" w:hanging="415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7D294B" w:rsidRPr="0020723B" w:rsidRDefault="007D294B" w:rsidP="007D294B">
      <w:pPr>
        <w:pStyle w:val="Akapitzlist"/>
        <w:numPr>
          <w:ilvl w:val="3"/>
          <w:numId w:val="2"/>
        </w:numPr>
        <w:tabs>
          <w:tab w:val="left" w:pos="2181"/>
        </w:tabs>
        <w:spacing w:before="206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7D294B" w:rsidRPr="0020723B" w:rsidRDefault="007D294B" w:rsidP="007D294B">
      <w:pPr>
        <w:pStyle w:val="Akapitzlist"/>
        <w:numPr>
          <w:ilvl w:val="3"/>
          <w:numId w:val="2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7D294B" w:rsidRPr="0020723B" w:rsidRDefault="007D294B" w:rsidP="007D294B">
      <w:pPr>
        <w:pStyle w:val="Akapitzlist"/>
        <w:numPr>
          <w:ilvl w:val="3"/>
          <w:numId w:val="2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lastRenderedPageBreak/>
        <w:t>obserwacja bezpośrednia.</w:t>
      </w:r>
    </w:p>
    <w:p w:rsidR="007D294B" w:rsidRPr="0020723B" w:rsidRDefault="007D294B" w:rsidP="007D294B">
      <w:pPr>
        <w:pStyle w:val="Heading6"/>
        <w:numPr>
          <w:ilvl w:val="2"/>
          <w:numId w:val="2"/>
        </w:numPr>
        <w:tabs>
          <w:tab w:val="left" w:pos="1841"/>
        </w:tabs>
        <w:spacing w:before="171"/>
        <w:ind w:left="1841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7D294B" w:rsidRPr="0020723B" w:rsidRDefault="007D294B" w:rsidP="007D294B">
      <w:pPr>
        <w:pStyle w:val="Tekstpodstawowy"/>
        <w:tabs>
          <w:tab w:val="left" w:pos="2182"/>
        </w:tabs>
        <w:spacing w:before="206" w:line="242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monitoruje wyniki i powikłania terapii żywieniowych zgodnie z wymogami standardu.</w:t>
      </w:r>
    </w:p>
    <w:p w:rsidR="007D294B" w:rsidRPr="0020723B" w:rsidRDefault="007D294B" w:rsidP="007D294B">
      <w:pPr>
        <w:pStyle w:val="Tekstpodstawowy"/>
        <w:tabs>
          <w:tab w:val="left" w:pos="2182"/>
        </w:tabs>
        <w:spacing w:line="247" w:lineRule="auto"/>
        <w:ind w:left="2182" w:right="145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podejmuje intensywne działania mające na celu spełnienie standardu (co najmniej 60% kamieni milowych jest spełnionych).</w:t>
      </w:r>
    </w:p>
    <w:p w:rsidR="007D294B" w:rsidRPr="0020723B" w:rsidRDefault="007D294B" w:rsidP="007D294B">
      <w:pPr>
        <w:pStyle w:val="Tekstpodstawowy"/>
        <w:tabs>
          <w:tab w:val="left" w:pos="2182"/>
        </w:tabs>
        <w:spacing w:line="234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nie monitoruje wyników i powikłań terapii żywieniowych.</w:t>
      </w:r>
    </w:p>
    <w:p w:rsidR="007D294B" w:rsidRPr="0020723B" w:rsidRDefault="007D294B" w:rsidP="007D294B">
      <w:pPr>
        <w:pStyle w:val="Heading6"/>
        <w:numPr>
          <w:ilvl w:val="2"/>
          <w:numId w:val="2"/>
        </w:numPr>
        <w:tabs>
          <w:tab w:val="left" w:pos="1275"/>
        </w:tabs>
        <w:spacing w:before="75"/>
        <w:ind w:left="1275" w:hanging="400"/>
        <w:jc w:val="left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rect id="docshape1807" o:spid="_x0000_s1028" style="position:absolute;left:0;text-align:left;margin-left:0;margin-top:474.5pt;width:28.35pt;height:47.95pt;z-index:251662336;mso-position-horizontal-relative:page;mso-position-vertical-relative:page" fillcolor="#072160" stroked="f">
            <w10:wrap anchorx="page" anchory="page"/>
          </v:rect>
        </w:pict>
      </w:r>
      <w:r w:rsidRPr="0020723B">
        <w:rPr>
          <w:rFonts w:ascii="Calibri" w:hAnsi="Calibri" w:cs="Arial"/>
          <w:color w:val="072160"/>
          <w:sz w:val="22"/>
          <w:szCs w:val="20"/>
        </w:rPr>
        <w:t>Kamienie milowe</w:t>
      </w:r>
    </w:p>
    <w:p w:rsidR="007D294B" w:rsidRPr="0020723B" w:rsidRDefault="007D294B" w:rsidP="007D294B">
      <w:pPr>
        <w:pStyle w:val="Akapitzlist"/>
        <w:numPr>
          <w:ilvl w:val="3"/>
          <w:numId w:val="2"/>
        </w:numPr>
        <w:tabs>
          <w:tab w:val="left" w:pos="1615"/>
        </w:tabs>
        <w:spacing w:before="206" w:line="247" w:lineRule="auto"/>
        <w:ind w:left="1615"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monitorowane są wyniki i powikłania mechaniczne prowadzonych terapii żywieniowych, zarówno dojelitowych jak i dożylnych w oparciu o analizowanie dokumentacji medycznej zgodnie z opisem wymagań standardu;</w:t>
      </w:r>
    </w:p>
    <w:p w:rsidR="007D294B" w:rsidRPr="0020723B" w:rsidRDefault="007D294B" w:rsidP="007D294B">
      <w:pPr>
        <w:pStyle w:val="Akapitzlist"/>
        <w:numPr>
          <w:ilvl w:val="3"/>
          <w:numId w:val="2"/>
        </w:numPr>
        <w:tabs>
          <w:tab w:val="left" w:pos="1615"/>
        </w:tabs>
        <w:spacing w:line="247" w:lineRule="auto"/>
        <w:ind w:left="1615" w:right="70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monitorowane są wyniki i powikłania funkcjonalne przewodu pokarmowego w przypadku żywienia dojelitowego np. biegunka, wymioty, zaparcia, zarzucanie i aspiracja diety, wzdęcia;</w:t>
      </w:r>
    </w:p>
    <w:p w:rsidR="007D294B" w:rsidRPr="0020723B" w:rsidRDefault="007D294B" w:rsidP="007D294B">
      <w:pPr>
        <w:pStyle w:val="Akapitzlist"/>
        <w:numPr>
          <w:ilvl w:val="3"/>
          <w:numId w:val="2"/>
        </w:numPr>
        <w:tabs>
          <w:tab w:val="left" w:pos="1615"/>
        </w:tabs>
        <w:spacing w:line="247" w:lineRule="auto"/>
        <w:ind w:left="1615"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monitorowane są wyniki i powikłania infekcyjne prowadzony</w:t>
      </w:r>
      <w:r>
        <w:rPr>
          <w:rFonts w:ascii="Calibri" w:hAnsi="Calibri" w:cs="Arial"/>
          <w:szCs w:val="20"/>
        </w:rPr>
        <w:t>ch terapii żywieniowych, zarów</w:t>
      </w:r>
      <w:r w:rsidRPr="0020723B">
        <w:rPr>
          <w:rFonts w:ascii="Calibri" w:hAnsi="Calibri" w:cs="Arial"/>
          <w:szCs w:val="20"/>
        </w:rPr>
        <w:t>no dojelitowych jak i dożylnych w oparciu o analizowanie dokumentacji medycznej zgodnie z opisem wymagań standardu;</w:t>
      </w:r>
    </w:p>
    <w:p w:rsidR="007D294B" w:rsidRPr="0020723B" w:rsidRDefault="007D294B" w:rsidP="007D294B">
      <w:pPr>
        <w:pStyle w:val="Akapitzlist"/>
        <w:numPr>
          <w:ilvl w:val="3"/>
          <w:numId w:val="2"/>
        </w:numPr>
        <w:tabs>
          <w:tab w:val="left" w:pos="1615"/>
        </w:tabs>
        <w:spacing w:line="247" w:lineRule="auto"/>
        <w:ind w:left="1615"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monitorowane są wyniki i powikłania metaboliczne prowadzonych terapii żywieniowych, zarówno dojelitowych jak i dożylnych w oparciu o analizowanie dokumentacji medycznej zgodnie z opisem wymagań standardu;</w:t>
      </w:r>
    </w:p>
    <w:p w:rsidR="007D294B" w:rsidRPr="0020723B" w:rsidRDefault="007D294B" w:rsidP="007D294B">
      <w:pPr>
        <w:pStyle w:val="Akapitzlist"/>
        <w:numPr>
          <w:ilvl w:val="3"/>
          <w:numId w:val="2"/>
        </w:numPr>
        <w:tabs>
          <w:tab w:val="left" w:pos="1615"/>
        </w:tabs>
        <w:spacing w:line="247" w:lineRule="auto"/>
        <w:ind w:left="1615" w:right="70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monitorowane są wyniki i powikłania żywienia pozajelitowego, która obejmuje co najmniej powikłania związane z cewnikiem (mechaniczne, infekcyjne, metaboliczne itp.), zgodnie z opisem wymagań standardu;</w:t>
      </w:r>
    </w:p>
    <w:p w:rsidR="007D294B" w:rsidRPr="0020723B" w:rsidRDefault="007D294B" w:rsidP="007D294B">
      <w:pPr>
        <w:pStyle w:val="Akapitzlist"/>
        <w:numPr>
          <w:ilvl w:val="3"/>
          <w:numId w:val="2"/>
        </w:numPr>
        <w:tabs>
          <w:tab w:val="left" w:pos="1615"/>
        </w:tabs>
        <w:spacing w:line="247" w:lineRule="auto"/>
        <w:ind w:left="1615" w:right="70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analiza wyników i powikłań prowadzona jest raz w roku, a wyniki są przedstawiane kierującym oddziałami i służą do poprawy bezpieczeństwa stosowanych terapii żywieniowych.</w:t>
      </w:r>
    </w:p>
    <w:p w:rsidR="007D294B" w:rsidRPr="0020723B" w:rsidRDefault="007D294B" w:rsidP="007D294B">
      <w:pPr>
        <w:pStyle w:val="Tekstpodstawowy"/>
        <w:spacing w:before="189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Co najmniej 60% stanowi 4 kamienie milowe.</w:t>
      </w:r>
    </w:p>
    <w:p w:rsidR="007D294B" w:rsidRPr="0020723B" w:rsidRDefault="007D294B" w:rsidP="007D294B">
      <w:pPr>
        <w:pStyle w:val="Tekstpodstawowy"/>
        <w:spacing w:before="3"/>
        <w:rPr>
          <w:rFonts w:ascii="Calibri" w:hAnsi="Calibri" w:cs="Arial"/>
          <w:sz w:val="22"/>
        </w:rPr>
      </w:pPr>
    </w:p>
    <w:p w:rsidR="007D294B" w:rsidRPr="0020723B" w:rsidRDefault="007D294B" w:rsidP="007D294B">
      <w:pPr>
        <w:pStyle w:val="Heading9"/>
        <w:spacing w:before="1"/>
        <w:ind w:left="1275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0,75</w:t>
      </w:r>
    </w:p>
    <w:p w:rsidR="007D294B" w:rsidRPr="0020723B" w:rsidRDefault="007D294B" w:rsidP="007D294B">
      <w:pPr>
        <w:pStyle w:val="Tekstpodstawowy"/>
        <w:spacing w:before="164"/>
        <w:rPr>
          <w:rFonts w:ascii="Calibri" w:hAnsi="Calibri" w:cs="Arial"/>
          <w:sz w:val="22"/>
        </w:rPr>
      </w:pPr>
    </w:p>
    <w:p w:rsidR="00427D73" w:rsidRDefault="007D294B"/>
    <w:sectPr w:rsidR="00427D73" w:rsidSect="00450E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1FA4F17"/>
    <w:multiLevelType w:val="hybridMultilevel"/>
    <w:tmpl w:val="F96A1AB4"/>
    <w:lvl w:ilvl="0" w:tplc="DAF68FE4">
      <w:start w:val="1"/>
      <w:numFmt w:val="decimal"/>
      <w:lvlText w:val="%1."/>
      <w:lvlJc w:val="left"/>
      <w:pPr>
        <w:ind w:left="1842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C85017B0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1F00992E">
      <w:start w:val="1"/>
      <w:numFmt w:val="decimal"/>
      <w:lvlText w:val="%3."/>
      <w:lvlJc w:val="left"/>
      <w:pPr>
        <w:ind w:left="1842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3" w:tplc="05061DEE">
      <w:start w:val="1"/>
      <w:numFmt w:val="decimal"/>
      <w:lvlText w:val="%4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4" w:tplc="BCFCBF7E">
      <w:start w:val="1"/>
      <w:numFmt w:val="lowerLetter"/>
      <w:lvlText w:val="%5)"/>
      <w:lvlJc w:val="left"/>
      <w:pPr>
        <w:ind w:left="2522" w:hanging="341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5"/>
        <w:sz w:val="20"/>
        <w:szCs w:val="20"/>
        <w:lang w:val="pl-PL" w:eastAsia="en-US" w:bidi="ar-SA"/>
      </w:rPr>
    </w:lvl>
    <w:lvl w:ilvl="5" w:tplc="F0882E8C">
      <w:numFmt w:val="bullet"/>
      <w:lvlText w:val="•"/>
      <w:lvlJc w:val="left"/>
      <w:pPr>
        <w:ind w:left="4634" w:hanging="341"/>
      </w:pPr>
      <w:rPr>
        <w:rFonts w:hint="default"/>
        <w:lang w:val="pl-PL" w:eastAsia="en-US" w:bidi="ar-SA"/>
      </w:rPr>
    </w:lvl>
    <w:lvl w:ilvl="6" w:tplc="07FCA88C">
      <w:numFmt w:val="bullet"/>
      <w:lvlText w:val="•"/>
      <w:lvlJc w:val="left"/>
      <w:pPr>
        <w:ind w:left="5692" w:hanging="341"/>
      </w:pPr>
      <w:rPr>
        <w:rFonts w:hint="default"/>
        <w:lang w:val="pl-PL" w:eastAsia="en-US" w:bidi="ar-SA"/>
      </w:rPr>
    </w:lvl>
    <w:lvl w:ilvl="7" w:tplc="9A9E3C7E">
      <w:numFmt w:val="bullet"/>
      <w:lvlText w:val="•"/>
      <w:lvlJc w:val="left"/>
      <w:pPr>
        <w:ind w:left="6749" w:hanging="341"/>
      </w:pPr>
      <w:rPr>
        <w:rFonts w:hint="default"/>
        <w:lang w:val="pl-PL" w:eastAsia="en-US" w:bidi="ar-SA"/>
      </w:rPr>
    </w:lvl>
    <w:lvl w:ilvl="8" w:tplc="FF10CB4A">
      <w:numFmt w:val="bullet"/>
      <w:lvlText w:val="•"/>
      <w:lvlJc w:val="left"/>
      <w:pPr>
        <w:ind w:left="7806" w:hanging="341"/>
      </w:pPr>
      <w:rPr>
        <w:rFonts w:hint="default"/>
        <w:lang w:val="pl-PL" w:eastAsia="en-US" w:bidi="ar-SA"/>
      </w:rPr>
    </w:lvl>
  </w:abstractNum>
  <w:abstractNum w:abstractNumId="1">
    <w:nsid w:val="7815063F"/>
    <w:multiLevelType w:val="hybridMultilevel"/>
    <w:tmpl w:val="C20E0BDC"/>
    <w:lvl w:ilvl="0" w:tplc="462E9E20">
      <w:start w:val="1"/>
      <w:numFmt w:val="decimal"/>
      <w:lvlText w:val="%1)"/>
      <w:lvlJc w:val="left"/>
      <w:pPr>
        <w:ind w:left="2182" w:hanging="345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1" w:tplc="D54EA7E8">
      <w:numFmt w:val="bullet"/>
      <w:lvlText w:val="•"/>
      <w:lvlJc w:val="left"/>
      <w:pPr>
        <w:ind w:left="2954" w:hanging="345"/>
      </w:pPr>
      <w:rPr>
        <w:rFonts w:hint="default"/>
        <w:lang w:val="pl-PL" w:eastAsia="en-US" w:bidi="ar-SA"/>
      </w:rPr>
    </w:lvl>
    <w:lvl w:ilvl="2" w:tplc="0F6E72B4">
      <w:numFmt w:val="bullet"/>
      <w:lvlText w:val="•"/>
      <w:lvlJc w:val="left"/>
      <w:pPr>
        <w:ind w:left="3728" w:hanging="345"/>
      </w:pPr>
      <w:rPr>
        <w:rFonts w:hint="default"/>
        <w:lang w:val="pl-PL" w:eastAsia="en-US" w:bidi="ar-SA"/>
      </w:rPr>
    </w:lvl>
    <w:lvl w:ilvl="3" w:tplc="CFA2290A">
      <w:numFmt w:val="bullet"/>
      <w:lvlText w:val="•"/>
      <w:lvlJc w:val="left"/>
      <w:pPr>
        <w:ind w:left="4502" w:hanging="345"/>
      </w:pPr>
      <w:rPr>
        <w:rFonts w:hint="default"/>
        <w:lang w:val="pl-PL" w:eastAsia="en-US" w:bidi="ar-SA"/>
      </w:rPr>
    </w:lvl>
    <w:lvl w:ilvl="4" w:tplc="E6C835A2">
      <w:numFmt w:val="bullet"/>
      <w:lvlText w:val="•"/>
      <w:lvlJc w:val="left"/>
      <w:pPr>
        <w:ind w:left="5276" w:hanging="345"/>
      </w:pPr>
      <w:rPr>
        <w:rFonts w:hint="default"/>
        <w:lang w:val="pl-PL" w:eastAsia="en-US" w:bidi="ar-SA"/>
      </w:rPr>
    </w:lvl>
    <w:lvl w:ilvl="5" w:tplc="0EE84F1E">
      <w:numFmt w:val="bullet"/>
      <w:lvlText w:val="•"/>
      <w:lvlJc w:val="left"/>
      <w:pPr>
        <w:ind w:left="6050" w:hanging="345"/>
      </w:pPr>
      <w:rPr>
        <w:rFonts w:hint="default"/>
        <w:lang w:val="pl-PL" w:eastAsia="en-US" w:bidi="ar-SA"/>
      </w:rPr>
    </w:lvl>
    <w:lvl w:ilvl="6" w:tplc="AFF61014">
      <w:numFmt w:val="bullet"/>
      <w:lvlText w:val="•"/>
      <w:lvlJc w:val="left"/>
      <w:pPr>
        <w:ind w:left="6824" w:hanging="345"/>
      </w:pPr>
      <w:rPr>
        <w:rFonts w:hint="default"/>
        <w:lang w:val="pl-PL" w:eastAsia="en-US" w:bidi="ar-SA"/>
      </w:rPr>
    </w:lvl>
    <w:lvl w:ilvl="7" w:tplc="1FC6693C">
      <w:numFmt w:val="bullet"/>
      <w:lvlText w:val="•"/>
      <w:lvlJc w:val="left"/>
      <w:pPr>
        <w:ind w:left="7599" w:hanging="345"/>
      </w:pPr>
      <w:rPr>
        <w:rFonts w:hint="default"/>
        <w:lang w:val="pl-PL" w:eastAsia="en-US" w:bidi="ar-SA"/>
      </w:rPr>
    </w:lvl>
    <w:lvl w:ilvl="8" w:tplc="B60EC97A">
      <w:numFmt w:val="bullet"/>
      <w:lvlText w:val="•"/>
      <w:lvlJc w:val="left"/>
      <w:pPr>
        <w:ind w:left="8373" w:hanging="345"/>
      </w:pPr>
      <w:rPr>
        <w:rFonts w:hint="default"/>
        <w:lang w:val="pl-PL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7D294B"/>
    <w:rsid w:val="000745AD"/>
    <w:rsid w:val="00450E46"/>
    <w:rsid w:val="00682510"/>
    <w:rsid w:val="007D29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7D294B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7D294B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7D294B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7D294B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7D294B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7D294B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7D294B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449</Words>
  <Characters>2694</Characters>
  <Application>Microsoft Office Word</Application>
  <DocSecurity>0</DocSecurity>
  <Lines>22</Lines>
  <Paragraphs>6</Paragraphs>
  <ScaleCrop>false</ScaleCrop>
  <Company/>
  <LinksUpToDate>false</LinksUpToDate>
  <CharactersWithSpaces>3137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2025-10-13T11:06:00Z</dcterms:created>
  <dcterms:modified xsi:type="dcterms:W3CDTF">2025-10-13T11:07:00Z</dcterms:modified>
</cp:coreProperties>
</file>