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95A" w:rsidRPr="0020723B" w:rsidRDefault="0025795A" w:rsidP="0025795A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13" o:spid="_x0000_s1026" type="#_x0000_t202" style="position:absolute;left:0;text-align:left;margin-left:56.7pt;margin-top:-4.9pt;width:45.4pt;height:58.05pt;z-index:251660288;mso-position-horizontal-relative:page" fillcolor="#bee3eb" stroked="f">
            <v:textbox inset="0,0,0,0">
              <w:txbxContent>
                <w:p w:rsidR="0025795A" w:rsidRDefault="0025795A" w:rsidP="0025795A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25795A" w:rsidRDefault="0025795A" w:rsidP="0025795A">
                  <w:pPr>
                    <w:ind w:left="235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STOSOWANA JEST ŻYWNOŚĆ</w:t>
      </w:r>
    </w:p>
    <w:p w:rsidR="0025795A" w:rsidRPr="0020723B" w:rsidRDefault="0025795A" w:rsidP="0025795A">
      <w:pPr>
        <w:pStyle w:val="Heading4"/>
        <w:spacing w:before="22" w:line="194" w:lineRule="auto"/>
        <w:ind w:left="1275" w:right="1839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SPECJALNEGO PRZEZNACZENIA MEDYCZNEGO (STANDARD MOŻE BYĆ WYŁĄCZONY).</w:t>
      </w:r>
    </w:p>
    <w:p w:rsidR="0025795A" w:rsidRPr="0020723B" w:rsidRDefault="0025795A" w:rsidP="0025795A">
      <w:pPr>
        <w:pStyle w:val="Tekstpodstawowy"/>
        <w:spacing w:before="63"/>
        <w:rPr>
          <w:rFonts w:ascii="Calibri" w:hAnsi="Calibri" w:cs="Arial"/>
          <w:sz w:val="22"/>
        </w:rPr>
      </w:pPr>
    </w:p>
    <w:p w:rsidR="0025795A" w:rsidRPr="0020723B" w:rsidRDefault="0025795A" w:rsidP="0025795A">
      <w:pPr>
        <w:pStyle w:val="Heading6"/>
        <w:numPr>
          <w:ilvl w:val="0"/>
          <w:numId w:val="2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5795A" w:rsidRPr="0020723B" w:rsidRDefault="0025795A" w:rsidP="0025795A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Apteka szpitalna zapewnia dostęp do leków, preparatów do żywie</w:t>
      </w:r>
      <w:r>
        <w:rPr>
          <w:rFonts w:ascii="Calibri" w:hAnsi="Calibri" w:cs="Arial"/>
          <w:sz w:val="22"/>
        </w:rPr>
        <w:t>nia pozajelitowego oraz dojeli</w:t>
      </w:r>
      <w:r w:rsidRPr="0020723B">
        <w:rPr>
          <w:rFonts w:ascii="Calibri" w:hAnsi="Calibri" w:cs="Arial"/>
          <w:sz w:val="22"/>
        </w:rPr>
        <w:t xml:space="preserve">towego, w tym diet przemysłowych stosowanych doustnie (żywność specjalnego przeznaczenia medycznego: FSMP, ang. </w:t>
      </w:r>
      <w:proofErr w:type="spellStart"/>
      <w:r w:rsidRPr="0020723B">
        <w:rPr>
          <w:rFonts w:ascii="Calibri" w:hAnsi="Calibri" w:cs="Arial"/>
          <w:sz w:val="22"/>
        </w:rPr>
        <w:t>food</w:t>
      </w:r>
      <w:proofErr w:type="spellEnd"/>
      <w:r w:rsidRPr="0020723B">
        <w:rPr>
          <w:rFonts w:ascii="Calibri" w:hAnsi="Calibri" w:cs="Arial"/>
          <w:sz w:val="22"/>
        </w:rPr>
        <w:t xml:space="preserve"> for </w:t>
      </w:r>
      <w:proofErr w:type="spellStart"/>
      <w:r w:rsidRPr="0020723B">
        <w:rPr>
          <w:rFonts w:ascii="Calibri" w:hAnsi="Calibri" w:cs="Arial"/>
          <w:sz w:val="22"/>
        </w:rPr>
        <w:t>special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medical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purposes</w:t>
      </w:r>
      <w:proofErr w:type="spellEnd"/>
      <w:r w:rsidRPr="0020723B">
        <w:rPr>
          <w:rFonts w:ascii="Calibri" w:hAnsi="Calibri" w:cs="Arial"/>
          <w:sz w:val="22"/>
        </w:rPr>
        <w:t>) umożliwiających prowadzenie leczenia żywieniowego w różnych sytuacjach klinicznych. Żywność specjalnego przeznaczenia medyczne- go oznacza żywność specjalnie przetworzoną lub żywność o specjalnym składzie, przeznaczoną do dietetycznego odżywiania pacjentów, w tym niemowląt, stosowaną pod nadzorem lekarza.</w:t>
      </w:r>
    </w:p>
    <w:p w:rsidR="0025795A" w:rsidRPr="0020723B" w:rsidRDefault="0025795A" w:rsidP="0025795A">
      <w:pPr>
        <w:pStyle w:val="Tekstpodstawowy"/>
        <w:spacing w:before="12"/>
        <w:rPr>
          <w:rFonts w:ascii="Calibri" w:hAnsi="Calibri" w:cs="Arial"/>
          <w:sz w:val="22"/>
        </w:rPr>
      </w:pPr>
    </w:p>
    <w:p w:rsidR="0025795A" w:rsidRPr="0020723B" w:rsidRDefault="0025795A" w:rsidP="0025795A">
      <w:pPr>
        <w:pStyle w:val="Tekstpodstawowy"/>
        <w:spacing w:before="1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FSMP służy do wyłącznego lub częściowego żywienia pacjentów:</w:t>
      </w:r>
    </w:p>
    <w:p w:rsidR="0025795A" w:rsidRPr="0020723B" w:rsidRDefault="0025795A" w:rsidP="0025795A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 ograniczoną, upośledzoną lub zaburzoną zdolnością przyjmowania, trawienia, wchłaniania, metabolizowania lub wydalania zwykłej żywności lub niektórych składników odżywczych zawartych w tej żywności lub jej metabolitach;</w:t>
      </w:r>
    </w:p>
    <w:p w:rsidR="0025795A" w:rsidRPr="0020723B" w:rsidRDefault="0025795A" w:rsidP="0025795A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1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 innymi uzasadnionymi medycznie wymaganiami żywieniowymi, u których dietetyczne odżywianie nie może zostać osiągnięte jedynie przez zmianę normalnej diety.</w:t>
      </w:r>
    </w:p>
    <w:p w:rsidR="0025795A" w:rsidRPr="0020723B" w:rsidRDefault="0025795A" w:rsidP="0025795A">
      <w:pPr>
        <w:pStyle w:val="Tekstpodstawowy"/>
        <w:spacing w:before="229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Zastosowanie takiej żywności pozwala na:</w:t>
      </w:r>
    </w:p>
    <w:p w:rsidR="0025795A" w:rsidRPr="0020723B" w:rsidRDefault="0025795A" w:rsidP="0025795A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szybkie rozpoczęcie leczenia żywieniowego w przypadku możliwości żywienia doustnego;</w:t>
      </w:r>
    </w:p>
    <w:p w:rsidR="0025795A" w:rsidRPr="0020723B" w:rsidRDefault="0025795A" w:rsidP="0025795A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zwiększenie masy ciała pacjenta, w tym masy mięśniowej;</w:t>
      </w:r>
    </w:p>
    <w:p w:rsidR="0025795A" w:rsidRPr="0020723B" w:rsidRDefault="0025795A" w:rsidP="0025795A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zmniejszenie liczby powikłań, w tym powikłań zakaźnych;</w:t>
      </w:r>
    </w:p>
    <w:p w:rsidR="0025795A" w:rsidRPr="0020723B" w:rsidRDefault="0025795A" w:rsidP="0025795A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skrócenie czasu hospitalizacji.</w:t>
      </w:r>
    </w:p>
    <w:p w:rsidR="0025795A" w:rsidRPr="0020723B" w:rsidRDefault="0025795A" w:rsidP="0025795A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5795A" w:rsidRPr="0020723B" w:rsidRDefault="0025795A" w:rsidP="0025795A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5795A" w:rsidRPr="0020723B" w:rsidRDefault="0025795A" w:rsidP="0025795A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25795A" w:rsidRPr="0020723B" w:rsidRDefault="0025795A" w:rsidP="0025795A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5795A" w:rsidRPr="0020723B" w:rsidRDefault="0025795A" w:rsidP="0025795A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stosowana jest żywność specjalnego przeznaczenia medycznego.</w:t>
      </w:r>
    </w:p>
    <w:p w:rsidR="0025795A" w:rsidRPr="0020723B" w:rsidRDefault="0025795A" w:rsidP="0025795A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stosuje się żywności specjalnego przeznaczenia medycznego.</w:t>
      </w:r>
    </w:p>
    <w:p w:rsidR="0025795A" w:rsidRPr="0020723B" w:rsidRDefault="0025795A" w:rsidP="0025795A">
      <w:pPr>
        <w:pStyle w:val="Tekstpodstawowy"/>
        <w:spacing w:before="3"/>
        <w:rPr>
          <w:rFonts w:ascii="Calibri" w:hAnsi="Calibri" w:cs="Arial"/>
          <w:sz w:val="22"/>
        </w:rPr>
      </w:pPr>
    </w:p>
    <w:p w:rsidR="0025795A" w:rsidRPr="0020723B" w:rsidRDefault="0025795A" w:rsidP="0025795A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5795A"/>
    <w:sectPr w:rsidR="00427D73" w:rsidSect="00450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2B4ECE"/>
    <w:multiLevelType w:val="hybridMultilevel"/>
    <w:tmpl w:val="EE6664D2"/>
    <w:lvl w:ilvl="0" w:tplc="5D38B38A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5D423EC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5F5A7B18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D174E746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2E943D0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3F32AC0A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70B42E1C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2D64B81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E1D41A3C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1">
    <w:nsid w:val="6FD0417A"/>
    <w:multiLevelType w:val="hybridMultilevel"/>
    <w:tmpl w:val="6F349E80"/>
    <w:lvl w:ilvl="0" w:tplc="447E264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F7A2F0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1FE93D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4C40C3A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8502480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D5ACCFC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5CB285FE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DC7C0D3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74D0BA7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5795A"/>
    <w:rsid w:val="000745AD"/>
    <w:rsid w:val="0025795A"/>
    <w:rsid w:val="00450E46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5795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5795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5795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5795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5795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5795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5795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2025-10-13T11:07:00Z</dcterms:created>
  <dcterms:modified xsi:type="dcterms:W3CDTF">2025-10-13T11:08:00Z</dcterms:modified>
</cp:coreProperties>
</file>