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A07" w:rsidRPr="0020723B" w:rsidRDefault="008F2A07" w:rsidP="008F2A07">
      <w:pPr>
        <w:pStyle w:val="Tekstpodstawowy"/>
        <w:spacing w:before="173"/>
        <w:rPr>
          <w:rFonts w:ascii="Calibri" w:hAnsi="Calibri" w:cs="Arial"/>
          <w:sz w:val="22"/>
        </w:rPr>
      </w:pPr>
    </w:p>
    <w:p w:rsidR="008F2A07" w:rsidRPr="0020723B" w:rsidRDefault="008F2A07" w:rsidP="008F2A07">
      <w:pPr>
        <w:pStyle w:val="Heading4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09" o:spid="_x0000_s1026" type="#_x0000_t202" style="position:absolute;left:0;text-align:left;margin-left:86.05pt;margin-top:-10.6pt;width:45.4pt;height:37.35pt;z-index:251660288;mso-position-horizontal-relative:page" filled="f" strokecolor="#bee3eb" strokeweight="2pt">
            <v:textbox inset="0,0,0,0">
              <w:txbxContent>
                <w:p w:rsidR="008F2A07" w:rsidRDefault="008F2A07" w:rsidP="008F2A07">
                  <w:pPr>
                    <w:spacing w:before="195"/>
                    <w:ind w:left="3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4"/>
                      <w:w w:val="75"/>
                      <w:sz w:val="24"/>
                    </w:rPr>
                    <w:t>1.15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ZALECENIA KOŃCOWE,</w:t>
      </w:r>
    </w:p>
    <w:p w:rsidR="008F2A07" w:rsidRPr="0020723B" w:rsidRDefault="008F2A07" w:rsidP="008F2A07">
      <w:pPr>
        <w:pStyle w:val="Tekstpodstawowy"/>
        <w:spacing w:before="74"/>
        <w:rPr>
          <w:rFonts w:ascii="Calibri" w:hAnsi="Calibri" w:cs="Arial"/>
          <w:sz w:val="22"/>
        </w:rPr>
      </w:pPr>
    </w:p>
    <w:p w:rsidR="008F2A07" w:rsidRPr="0020723B" w:rsidRDefault="008F2A07" w:rsidP="008F2A07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F2A07" w:rsidRPr="0020723B" w:rsidRDefault="008F2A07" w:rsidP="008F2A07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Zalecenia dotyczące postępowania po wypisie powinny być sformułowane adekwatnie do po- trzeb zdrowotnych i skierowane do pacjenta oraz lekarza przejmującego opiekę nad pacjentem. Zalecenia powinny dotyczyć:</w:t>
      </w:r>
    </w:p>
    <w:p w:rsidR="008F2A07" w:rsidRPr="0020723B" w:rsidRDefault="008F2A07" w:rsidP="008F2A0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leczenia farmakologicznego z uwzględnieniem dawkowania leków i czasu zalecanej farma- </w:t>
      </w:r>
      <w:proofErr w:type="spellStart"/>
      <w:r w:rsidRPr="0020723B">
        <w:rPr>
          <w:rFonts w:ascii="Calibri" w:hAnsi="Calibri" w:cs="Arial"/>
          <w:szCs w:val="20"/>
        </w:rPr>
        <w:t>koterapii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8F2A07" w:rsidRPr="0020723B" w:rsidRDefault="008F2A07" w:rsidP="008F2A0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zaleceń dotyczących innych form terapii, jak np. rehabilitacji, leczenia fizjoterapeutycznego, sanatoryjnego;</w:t>
      </w:r>
    </w:p>
    <w:p w:rsidR="008F2A07" w:rsidRPr="0020723B" w:rsidRDefault="008F2A07" w:rsidP="008F2A07">
      <w:pPr>
        <w:pStyle w:val="Akapitzlist"/>
        <w:numPr>
          <w:ilvl w:val="1"/>
          <w:numId w:val="1"/>
        </w:numPr>
        <w:tabs>
          <w:tab w:val="left" w:pos="2181"/>
        </w:tabs>
        <w:spacing w:line="231" w:lineRule="exact"/>
        <w:ind w:left="2181" w:hanging="33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dalszego postępowania medycznego, np. kontrolnych badań lekarskich lub diagnostycznych;</w:t>
      </w:r>
    </w:p>
    <w:p w:rsidR="008F2A07" w:rsidRPr="0020723B" w:rsidRDefault="008F2A07" w:rsidP="008F2A07">
      <w:pPr>
        <w:pStyle w:val="Akapitzlist"/>
        <w:numPr>
          <w:ilvl w:val="1"/>
          <w:numId w:val="1"/>
        </w:numPr>
        <w:tabs>
          <w:tab w:val="left" w:pos="2181"/>
        </w:tabs>
        <w:ind w:left="2181" w:hanging="33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zaleceń w zakresie powrotu do zajęć i aktywności, takich jak: praca, kierowanie pojazdem itp.;</w:t>
      </w:r>
    </w:p>
    <w:p w:rsidR="008F2A07" w:rsidRPr="0020723B" w:rsidRDefault="008F2A07" w:rsidP="008F2A0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modyfikacji stylu życia, np. zalecenia dietetyczne, zaprzestanie stosowania używek, podjęcie regularnego wysiłku fizycznego itp.;</w:t>
      </w:r>
    </w:p>
    <w:p w:rsidR="008F2A07" w:rsidRPr="0020723B" w:rsidRDefault="008F2A07" w:rsidP="008F2A0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wskazania terminu wizyty kontrolnej lub podania danych kontaktowych do innego podmiotu wykonującego działalność leczniczą lub jednostki pomocy społecznej;</w:t>
      </w:r>
    </w:p>
    <w:p w:rsidR="008F2A07" w:rsidRPr="0020723B" w:rsidRDefault="008F2A07" w:rsidP="008F2A07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przypadku pacjentów operowanych – pielęgnowania miejsca operowanego, terminu zdjęcia szwów, dalszych wizyt kontrolnych, ograniczeń wynikających z rodzaju przebytego zabiegu operacyjnego, rehabilitacji, informacji o terminie i miejscu odbioru wyników badań.</w:t>
      </w:r>
    </w:p>
    <w:p w:rsidR="008F2A07" w:rsidRPr="0020723B" w:rsidRDefault="008F2A07" w:rsidP="008F2A07">
      <w:pPr>
        <w:pStyle w:val="Heading6"/>
        <w:numPr>
          <w:ilvl w:val="0"/>
          <w:numId w:val="1"/>
        </w:numPr>
        <w:tabs>
          <w:tab w:val="left" w:pos="1841"/>
        </w:tabs>
        <w:spacing w:before="121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F2A07" w:rsidRPr="008F2A07" w:rsidRDefault="008F2A07" w:rsidP="008F2A07">
      <w:pPr>
        <w:pStyle w:val="Akapitzlist"/>
        <w:numPr>
          <w:ilvl w:val="1"/>
          <w:numId w:val="1"/>
        </w:numPr>
        <w:tabs>
          <w:tab w:val="left" w:pos="2181"/>
        </w:tabs>
        <w:spacing w:before="205" w:line="240" w:lineRule="auto"/>
        <w:ind w:left="2181" w:hanging="343"/>
        <w:rPr>
          <w:rFonts w:ascii="Calibri" w:hAnsi="Calibri" w:cs="Arial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8F2A07" w:rsidRPr="008F2A07" w:rsidRDefault="008F2A07" w:rsidP="008F2A07">
      <w:pPr>
        <w:pStyle w:val="Akapitzlist"/>
        <w:tabs>
          <w:tab w:val="left" w:pos="2181"/>
        </w:tabs>
        <w:spacing w:before="205" w:line="240" w:lineRule="auto"/>
        <w:ind w:firstLine="0"/>
        <w:rPr>
          <w:rFonts w:ascii="Calibri" w:hAnsi="Calibri" w:cs="Arial"/>
        </w:rPr>
      </w:pPr>
      <w:r w:rsidRPr="008F2A07">
        <w:rPr>
          <w:rFonts w:ascii="Calibri" w:hAnsi="Calibri" w:cs="Arial"/>
        </w:rPr>
        <w:t xml:space="preserve"> </w:t>
      </w:r>
    </w:p>
    <w:p w:rsidR="008F2A07" w:rsidRPr="0020723B" w:rsidRDefault="008F2A07" w:rsidP="008F2A07">
      <w:pPr>
        <w:pStyle w:val="Heading6"/>
        <w:numPr>
          <w:ilvl w:val="0"/>
          <w:numId w:val="1"/>
        </w:numPr>
        <w:tabs>
          <w:tab w:val="left" w:pos="1274"/>
        </w:tabs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F2A07" w:rsidRPr="0020723B" w:rsidRDefault="008F2A07" w:rsidP="008F2A07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zalecenia końcowe zgodnie z wymogami standardu.</w:t>
      </w:r>
    </w:p>
    <w:p w:rsidR="008F2A07" w:rsidRPr="0020723B" w:rsidRDefault="008F2A07" w:rsidP="008F2A07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zalecenia końcowe zgodnie z wymogami standardu.</w:t>
      </w:r>
    </w:p>
    <w:p w:rsidR="008F2A07" w:rsidRPr="0020723B" w:rsidRDefault="008F2A07" w:rsidP="008F2A07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zalecenia końcowe zgodnie z wymogami standardu.</w:t>
      </w:r>
    </w:p>
    <w:p w:rsidR="008F2A07" w:rsidRPr="0020723B" w:rsidRDefault="008F2A07" w:rsidP="008F2A07">
      <w:pPr>
        <w:pStyle w:val="Heading9"/>
        <w:spacing w:before="207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8F2A07" w:rsidRPr="0020723B" w:rsidRDefault="008F2A07" w:rsidP="008F2A07">
      <w:pPr>
        <w:pStyle w:val="Tekstpodstawowy"/>
        <w:rPr>
          <w:rFonts w:ascii="Calibri" w:hAnsi="Calibri" w:cs="Arial"/>
          <w:sz w:val="22"/>
        </w:rPr>
      </w:pPr>
    </w:p>
    <w:p w:rsidR="00427D73" w:rsidRDefault="008F2A07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895B2B"/>
    <w:multiLevelType w:val="hybridMultilevel"/>
    <w:tmpl w:val="A0F8FD16"/>
    <w:lvl w:ilvl="0" w:tplc="F8C09D2C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5DE26EA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2C4B58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5B4A9F8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923480F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2670248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62AE0794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172C3D1A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6B1C9D3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F2A07"/>
    <w:rsid w:val="000745AD"/>
    <w:rsid w:val="00682510"/>
    <w:rsid w:val="006E12EA"/>
    <w:rsid w:val="008F2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F2A0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F2A0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F2A0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F2A0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F2A0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F2A0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F2A0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2025-07-09T10:40:00Z</dcterms:created>
  <dcterms:modified xsi:type="dcterms:W3CDTF">2025-07-09T10:40:00Z</dcterms:modified>
</cp:coreProperties>
</file>