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530A" w:rsidRPr="0020723B" w:rsidRDefault="0034530A" w:rsidP="0034530A">
      <w:pPr>
        <w:spacing w:before="51"/>
        <w:ind w:left="708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441" o:spid="_x0000_s1026" type="#_x0000_t202" style="position:absolute;left:0;text-align:left;margin-left:568.95pt;margin-top:43.9pt;width:24.4pt;height:48.4pt;z-index:251660288;mso-position-horizontal-relative:page;mso-position-vertical-relative:page" filled="f" stroked="f">
            <v:textbox style="layout-flow:vertical" inset="0,0,0,0">
              <w:txbxContent>
                <w:p w:rsidR="0034530A" w:rsidRDefault="0034530A" w:rsidP="0034530A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20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PP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Cs w:val="20"/>
        </w:rPr>
        <w:t>PRAWA I OBOWIĄZKI PACJENTA</w:t>
      </w:r>
    </w:p>
    <w:p w:rsidR="0034530A" w:rsidRPr="0020723B" w:rsidRDefault="0034530A" w:rsidP="0034530A">
      <w:pPr>
        <w:pStyle w:val="Tekstpodstawowy"/>
        <w:spacing w:before="144" w:line="247" w:lineRule="auto"/>
        <w:ind w:left="708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zapewnia informacje o prawach i obowiązkach pacjenta w sposób zroz</w:t>
      </w:r>
      <w:r>
        <w:rPr>
          <w:rFonts w:ascii="Calibri" w:hAnsi="Calibri" w:cs="Arial"/>
          <w:sz w:val="22"/>
        </w:rPr>
        <w:t>umiały i informacja ta jest do</w:t>
      </w:r>
      <w:r w:rsidRPr="0020723B">
        <w:rPr>
          <w:rFonts w:ascii="Calibri" w:hAnsi="Calibri" w:cs="Arial"/>
          <w:sz w:val="22"/>
        </w:rPr>
        <w:t xml:space="preserve">stępna w miejscach udzielania świadczeń. Szpital, który prowadzi dydaktykę </w:t>
      </w:r>
      <w:r>
        <w:rPr>
          <w:rFonts w:ascii="Calibri" w:hAnsi="Calibri" w:cs="Arial"/>
          <w:sz w:val="22"/>
        </w:rPr>
        <w:t>i badania naukowe, powinien za</w:t>
      </w:r>
      <w:r w:rsidRPr="0020723B">
        <w:rPr>
          <w:rFonts w:ascii="Calibri" w:hAnsi="Calibri" w:cs="Arial"/>
          <w:sz w:val="22"/>
        </w:rPr>
        <w:t>pewniać informacje na temat praw pacjenta w kontekście realizacji procesu edukacyjnego, np. prawo do nie- wyrażenia zgody na badanie przeprowadzane przez kształcących się oraz udziału w prowadzonych badaniach naukowych. Pacjent powinien być także informowany o obowiązującym regul</w:t>
      </w:r>
      <w:r>
        <w:rPr>
          <w:rFonts w:ascii="Calibri" w:hAnsi="Calibri" w:cs="Arial"/>
          <w:sz w:val="22"/>
        </w:rPr>
        <w:t>aminie szpitalnym. Prawa pacjen</w:t>
      </w:r>
      <w:r w:rsidRPr="0020723B">
        <w:rPr>
          <w:rFonts w:ascii="Calibri" w:hAnsi="Calibri" w:cs="Arial"/>
          <w:sz w:val="22"/>
        </w:rPr>
        <w:t>ta powinny uwzględniać potrzeby i wartości takie jak:</w:t>
      </w:r>
    </w:p>
    <w:p w:rsidR="0034530A" w:rsidRPr="0020723B" w:rsidRDefault="0034530A" w:rsidP="0034530A">
      <w:pPr>
        <w:pStyle w:val="Tekstpodstawowy"/>
        <w:rPr>
          <w:rFonts w:ascii="Calibri" w:hAnsi="Calibri" w:cs="Arial"/>
          <w:sz w:val="22"/>
        </w:rPr>
      </w:pPr>
    </w:p>
    <w:p w:rsidR="0034530A" w:rsidRPr="0020723B" w:rsidRDefault="0034530A" w:rsidP="0034530A">
      <w:pPr>
        <w:pStyle w:val="Tekstpodstawowy"/>
        <w:spacing w:before="7"/>
        <w:rPr>
          <w:rFonts w:ascii="Calibri" w:hAnsi="Calibri" w:cs="Arial"/>
          <w:sz w:val="22"/>
        </w:rPr>
      </w:pPr>
    </w:p>
    <w:p w:rsidR="0034530A" w:rsidRPr="0020723B" w:rsidRDefault="0034530A" w:rsidP="0034530A">
      <w:pPr>
        <w:pStyle w:val="Akapitzlist"/>
        <w:numPr>
          <w:ilvl w:val="0"/>
          <w:numId w:val="1"/>
        </w:numPr>
        <w:tabs>
          <w:tab w:val="left" w:pos="2182"/>
        </w:tabs>
        <w:spacing w:before="1"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godność (poważanie ze strony personelu, możliwość zadawa</w:t>
      </w:r>
      <w:r>
        <w:rPr>
          <w:rFonts w:ascii="Calibri" w:hAnsi="Calibri" w:cs="Arial"/>
          <w:szCs w:val="20"/>
        </w:rPr>
        <w:t>nia pytań i uzyskiwania wyczer</w:t>
      </w:r>
      <w:r w:rsidRPr="0020723B">
        <w:rPr>
          <w:rFonts w:ascii="Calibri" w:hAnsi="Calibri" w:cs="Arial"/>
          <w:szCs w:val="20"/>
        </w:rPr>
        <w:t>pującej informacji, niekrępujące warunki badania i leczenia) oraz potrzeby zapewniające intymność i poufność;</w:t>
      </w:r>
    </w:p>
    <w:p w:rsidR="0034530A" w:rsidRPr="0020723B" w:rsidRDefault="0034530A" w:rsidP="0034530A">
      <w:pPr>
        <w:pStyle w:val="Akapitzlist"/>
        <w:numPr>
          <w:ilvl w:val="0"/>
          <w:numId w:val="1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autonomia (prawo do uzyskania informacji o rozpoznaniu, st</w:t>
      </w:r>
      <w:r>
        <w:rPr>
          <w:rFonts w:ascii="Calibri" w:hAnsi="Calibri" w:cs="Arial"/>
          <w:szCs w:val="20"/>
        </w:rPr>
        <w:t>anie zdrowia i możliwych sposo</w:t>
      </w:r>
      <w:r w:rsidRPr="0020723B">
        <w:rPr>
          <w:rFonts w:ascii="Calibri" w:hAnsi="Calibri" w:cs="Arial"/>
          <w:szCs w:val="20"/>
        </w:rPr>
        <w:t>bach postępowania medycznego, możliwość zasięgania niezależnych opinii o proponowanym leczeniu, wyrażanie zgody na badania, zabiegi i sposób leczenia, prawo odmowy leczenia), informacje powinny być przekazane w sposób dostosowany do poziomu wiedzy i możliwości percepcyjnych pacjenta;</w:t>
      </w:r>
    </w:p>
    <w:p w:rsidR="0034530A" w:rsidRPr="0020723B" w:rsidRDefault="0034530A" w:rsidP="0034530A">
      <w:pPr>
        <w:pStyle w:val="Akapitzlist"/>
        <w:numPr>
          <w:ilvl w:val="0"/>
          <w:numId w:val="1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dyskrecja (możliwość rozmowy z personelem z zachowan</w:t>
      </w:r>
      <w:r>
        <w:rPr>
          <w:rFonts w:ascii="Calibri" w:hAnsi="Calibri" w:cs="Arial"/>
          <w:szCs w:val="20"/>
        </w:rPr>
        <w:t>iem poufności, zachowanie w ta</w:t>
      </w:r>
      <w:r w:rsidRPr="0020723B">
        <w:rPr>
          <w:rFonts w:ascii="Calibri" w:hAnsi="Calibri" w:cs="Arial"/>
          <w:szCs w:val="20"/>
        </w:rPr>
        <w:t>jemnicy informacji o chorobie lub prowadzonych działaniach diagnostycznych);</w:t>
      </w:r>
    </w:p>
    <w:p w:rsidR="0034530A" w:rsidRPr="0020723B" w:rsidRDefault="0034530A" w:rsidP="0034530A">
      <w:pPr>
        <w:pStyle w:val="Akapitzlist"/>
        <w:numPr>
          <w:ilvl w:val="0"/>
          <w:numId w:val="1"/>
        </w:numPr>
        <w:tabs>
          <w:tab w:val="left" w:pos="2182"/>
        </w:tabs>
        <w:spacing w:line="247" w:lineRule="auto"/>
        <w:ind w:right="13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zainteresowanie (zainteresowanie personelu problemami</w:t>
      </w:r>
      <w:r>
        <w:rPr>
          <w:rFonts w:ascii="Calibri" w:hAnsi="Calibri" w:cs="Arial"/>
          <w:szCs w:val="20"/>
        </w:rPr>
        <w:t xml:space="preserve"> pacjenta, szybka pomoc w sytu</w:t>
      </w:r>
      <w:r w:rsidRPr="0020723B">
        <w:rPr>
          <w:rFonts w:ascii="Calibri" w:hAnsi="Calibri" w:cs="Arial"/>
          <w:szCs w:val="20"/>
        </w:rPr>
        <w:t>acjach nagłych);</w:t>
      </w:r>
    </w:p>
    <w:p w:rsidR="0034530A" w:rsidRPr="0020723B" w:rsidRDefault="0034530A" w:rsidP="0034530A">
      <w:pPr>
        <w:pStyle w:val="Akapitzlist"/>
        <w:numPr>
          <w:ilvl w:val="0"/>
          <w:numId w:val="1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wsparcie społeczne (możliwość kontaktu z członkami rodziny i przyjaciółmi oraz obecności osoby bliskiej lub przedstawiciela ustawowego pacjenta w trakcie hospitalizacji);</w:t>
      </w:r>
    </w:p>
    <w:p w:rsidR="0034530A" w:rsidRPr="0020723B" w:rsidRDefault="0034530A" w:rsidP="0034530A">
      <w:pPr>
        <w:pStyle w:val="Akapitzlist"/>
        <w:numPr>
          <w:ilvl w:val="0"/>
          <w:numId w:val="1"/>
        </w:numPr>
        <w:tabs>
          <w:tab w:val="left" w:pos="2182"/>
        </w:tabs>
        <w:spacing w:line="231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możliwość uczestnictwa w praktykach religijnych i korzystania z opieki duchowej;</w:t>
      </w:r>
    </w:p>
    <w:p w:rsidR="0034530A" w:rsidRPr="0020723B" w:rsidRDefault="0034530A" w:rsidP="0034530A">
      <w:pPr>
        <w:pStyle w:val="Akapitzlist"/>
        <w:numPr>
          <w:ilvl w:val="0"/>
          <w:numId w:val="1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korzystanie z produktów żywnościowych zgodnie z zaleceniami dietetycznymi oraz z przed- miotów, przyniesionych przez odwiedzających.</w:t>
      </w:r>
    </w:p>
    <w:p w:rsidR="0034530A" w:rsidRPr="0020723B" w:rsidRDefault="0034530A" w:rsidP="0034530A">
      <w:pPr>
        <w:pStyle w:val="Tekstpodstawowy"/>
        <w:spacing w:before="198" w:line="247" w:lineRule="auto"/>
        <w:ind w:left="1842" w:right="1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wdraża mechanizmy egzekwowania obowiązków pacjenta w trakcie hospitalizacji, takich jak np.:</w:t>
      </w:r>
    </w:p>
    <w:p w:rsidR="0034530A" w:rsidRPr="0020723B" w:rsidRDefault="0034530A" w:rsidP="0034530A">
      <w:pPr>
        <w:pStyle w:val="Akapitzlist"/>
        <w:numPr>
          <w:ilvl w:val="0"/>
          <w:numId w:val="3"/>
        </w:numPr>
        <w:tabs>
          <w:tab w:val="left" w:pos="2181"/>
        </w:tabs>
        <w:spacing w:before="229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zakaz palenia tytoniu i wyrobów tytoniowych,</w:t>
      </w:r>
    </w:p>
    <w:p w:rsidR="0034530A" w:rsidRPr="0020723B" w:rsidRDefault="0034530A" w:rsidP="0034530A">
      <w:pPr>
        <w:pStyle w:val="Akapitzlist"/>
        <w:numPr>
          <w:ilvl w:val="0"/>
          <w:numId w:val="3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zakaz manipulowania sprzętem medycznym,</w:t>
      </w:r>
    </w:p>
    <w:p w:rsidR="0034530A" w:rsidRPr="0020723B" w:rsidRDefault="0034530A" w:rsidP="0034530A">
      <w:pPr>
        <w:pStyle w:val="Akapitzlist"/>
        <w:numPr>
          <w:ilvl w:val="0"/>
          <w:numId w:val="3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zakaz posiadania i przyjmowania napojów alkoholowych,</w:t>
      </w:r>
    </w:p>
    <w:p w:rsidR="0034530A" w:rsidRPr="0020723B" w:rsidRDefault="0034530A" w:rsidP="0034530A">
      <w:pPr>
        <w:pStyle w:val="Akapitzlist"/>
        <w:numPr>
          <w:ilvl w:val="0"/>
          <w:numId w:val="3"/>
        </w:numPr>
        <w:tabs>
          <w:tab w:val="left" w:pos="2182"/>
        </w:tabs>
        <w:spacing w:line="247" w:lineRule="auto"/>
        <w:ind w:right="138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zakaz posiadania substancji psychoaktywnych i innych niebezpiecznych substancji oraz niebezpiecznych przedmiotów, pod groźbą powiadomienia Policji w przypadku złamania takiego zakazu,</w:t>
      </w:r>
    </w:p>
    <w:p w:rsidR="0034530A" w:rsidRPr="0020723B" w:rsidRDefault="0034530A" w:rsidP="0034530A">
      <w:pPr>
        <w:pStyle w:val="Akapitzlist"/>
        <w:numPr>
          <w:ilvl w:val="0"/>
          <w:numId w:val="3"/>
        </w:numPr>
        <w:tabs>
          <w:tab w:val="left" w:pos="2182"/>
        </w:tabs>
        <w:spacing w:line="232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nakaz zachowywania się w sposób kulturalny i niezakłócający spokoju innym pacjentom,</w:t>
      </w:r>
    </w:p>
    <w:p w:rsidR="0034530A" w:rsidRPr="0020723B" w:rsidRDefault="0034530A" w:rsidP="0034530A">
      <w:pPr>
        <w:pStyle w:val="Akapitzlist"/>
        <w:numPr>
          <w:ilvl w:val="0"/>
          <w:numId w:val="3"/>
        </w:numPr>
        <w:tabs>
          <w:tab w:val="left" w:pos="2182"/>
        </w:tabs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nakaz zachowania higieny osobistej i porządku,</w:t>
      </w:r>
    </w:p>
    <w:p w:rsidR="0034530A" w:rsidRPr="0020723B" w:rsidRDefault="0034530A" w:rsidP="0034530A">
      <w:pPr>
        <w:pStyle w:val="Akapitzlist"/>
        <w:numPr>
          <w:ilvl w:val="0"/>
          <w:numId w:val="3"/>
        </w:numPr>
        <w:tabs>
          <w:tab w:val="left" w:pos="2182"/>
        </w:tabs>
        <w:spacing w:line="247" w:lineRule="auto"/>
        <w:ind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szacunek do personelu i innych pracowników ochrony zdro</w:t>
      </w:r>
      <w:r>
        <w:rPr>
          <w:rFonts w:ascii="Calibri" w:hAnsi="Calibri" w:cs="Arial"/>
          <w:szCs w:val="20"/>
        </w:rPr>
        <w:t>wia (szczególnie osób sprawują</w:t>
      </w:r>
      <w:r w:rsidRPr="0020723B">
        <w:rPr>
          <w:rFonts w:ascii="Calibri" w:hAnsi="Calibri" w:cs="Arial"/>
          <w:szCs w:val="20"/>
        </w:rPr>
        <w:t>cych opiekę nad pacjentem),</w:t>
      </w:r>
    </w:p>
    <w:p w:rsidR="0034530A" w:rsidRPr="0020723B" w:rsidRDefault="0034530A" w:rsidP="0034530A">
      <w:pPr>
        <w:pStyle w:val="Akapitzlist"/>
        <w:numPr>
          <w:ilvl w:val="0"/>
          <w:numId w:val="3"/>
        </w:numPr>
        <w:tabs>
          <w:tab w:val="left" w:pos="2182"/>
        </w:tabs>
        <w:spacing w:line="247" w:lineRule="auto"/>
        <w:ind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brak tolerancji dla agresji wobec personelu (informacje o och</w:t>
      </w:r>
      <w:r>
        <w:rPr>
          <w:rFonts w:ascii="Calibri" w:hAnsi="Calibri" w:cs="Arial"/>
          <w:szCs w:val="20"/>
        </w:rPr>
        <w:t>ronie przysługującej funkcjona</w:t>
      </w:r>
      <w:r w:rsidRPr="0020723B">
        <w:rPr>
          <w:rFonts w:ascii="Calibri" w:hAnsi="Calibri" w:cs="Arial"/>
          <w:szCs w:val="20"/>
        </w:rPr>
        <w:t>riuszowi publicznemu itp.).</w:t>
      </w:r>
    </w:p>
    <w:p w:rsidR="0034530A" w:rsidRPr="0020723B" w:rsidRDefault="0034530A" w:rsidP="0034530A">
      <w:pPr>
        <w:pStyle w:val="Tekstpodstawowy"/>
        <w:spacing w:before="226" w:line="247" w:lineRule="auto"/>
        <w:ind w:left="708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Kierownik i personel winien przestrzegać praw pacjenta i taktownie wymagać spełniania przez pacjenta jego obowiązków; szkolenia na ten temat powinny odbywać się cyklicznie, </w:t>
      </w:r>
      <w:r w:rsidRPr="0020723B">
        <w:rPr>
          <w:rFonts w:ascii="Calibri" w:hAnsi="Calibri" w:cs="Arial"/>
          <w:sz w:val="22"/>
        </w:rPr>
        <w:lastRenderedPageBreak/>
        <w:t>nie rzadziej niż raz w roku i powinny być prowadzone przez osoby posiadające przygotowanie i aktualną, opartą o k</w:t>
      </w:r>
      <w:r>
        <w:rPr>
          <w:rFonts w:ascii="Calibri" w:hAnsi="Calibri" w:cs="Arial"/>
          <w:sz w:val="22"/>
        </w:rPr>
        <w:t>omunikaty i stanowiska Rzeczni</w:t>
      </w:r>
      <w:r w:rsidRPr="0020723B">
        <w:rPr>
          <w:rFonts w:ascii="Calibri" w:hAnsi="Calibri" w:cs="Arial"/>
          <w:sz w:val="22"/>
        </w:rPr>
        <w:t>ka Praw Pacjenta wiedzę. Jednak samo przestrzeganie praw pacjenta nie gwarantuje wysokiej oceny opieki ze strony pacjentów. Immanentną składową opieki powinna być empatia</w:t>
      </w:r>
      <w:r>
        <w:rPr>
          <w:rFonts w:ascii="Calibri" w:hAnsi="Calibri" w:cs="Arial"/>
          <w:sz w:val="22"/>
        </w:rPr>
        <w:t xml:space="preserve"> personelu w stosunku do pacjen</w:t>
      </w:r>
      <w:r w:rsidRPr="0020723B">
        <w:rPr>
          <w:rFonts w:ascii="Calibri" w:hAnsi="Calibri" w:cs="Arial"/>
          <w:sz w:val="22"/>
        </w:rPr>
        <w:t xml:space="preserve">tów, życzliwość i wyczulenie na indywidualne potrzeby psychologiczne. W przypadku pacjentów małoletnich, ubezwłasnowolnionych lub niezdolnych do świadomego wyrażenia zgody standardy akredytacyjne odnoszą się też do przedstawicieli ustawowych pacjenta, na zasadach określonych </w:t>
      </w:r>
      <w:r>
        <w:rPr>
          <w:rFonts w:ascii="Calibri" w:hAnsi="Calibri" w:cs="Arial"/>
          <w:sz w:val="22"/>
        </w:rPr>
        <w:t>przepisami powszechnie obowiązu</w:t>
      </w:r>
      <w:r w:rsidRPr="0020723B">
        <w:rPr>
          <w:rFonts w:ascii="Calibri" w:hAnsi="Calibri" w:cs="Arial"/>
          <w:sz w:val="22"/>
        </w:rPr>
        <w:t>jącego prawa.</w:t>
      </w:r>
    </w:p>
    <w:p w:rsidR="0034530A" w:rsidRPr="0020723B" w:rsidRDefault="0034530A" w:rsidP="0034530A">
      <w:pPr>
        <w:pStyle w:val="Tekstpodstawowy"/>
        <w:spacing w:before="7" w:line="247" w:lineRule="auto"/>
        <w:ind w:left="708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Pacjent uczestniczy w procesie wyboru postępowania medycznego: otrzymuje informacje o alternatywnych metodach postępowania oraz uczestniczy w procesie wyboru sposobu leczenia.</w:t>
      </w:r>
    </w:p>
    <w:p w:rsidR="0034530A" w:rsidRDefault="0034530A" w:rsidP="0034530A">
      <w:pPr>
        <w:pStyle w:val="Tekstpodstawowy"/>
        <w:rPr>
          <w:rFonts w:ascii="Calibri" w:hAnsi="Calibri" w:cs="Arial"/>
          <w:sz w:val="22"/>
        </w:rPr>
      </w:pPr>
    </w:p>
    <w:p w:rsidR="0034530A" w:rsidRPr="0020723B" w:rsidRDefault="0034530A" w:rsidP="0034530A">
      <w:pPr>
        <w:pStyle w:val="Tekstpodstawowy"/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pict>
          <v:rect id="docshape1442" o:spid="_x0000_s1027" style="position:absolute;margin-left:0;margin-top:44.9pt;width:28.35pt;height:46.35pt;z-index:251661312;mso-position-horizontal-relative:page;mso-position-vertical-relative:page" fillcolor="#072160" stroked="f">
            <w10:wrap anchorx="page" anchory="page"/>
          </v:rect>
        </w:pict>
      </w:r>
    </w:p>
    <w:p w:rsidR="0034530A" w:rsidRPr="0020723B" w:rsidRDefault="0034530A" w:rsidP="0034530A">
      <w:pPr>
        <w:pStyle w:val="Tekstpodstawowy"/>
        <w:spacing w:before="3"/>
        <w:rPr>
          <w:rFonts w:ascii="Calibri" w:hAnsi="Calibri" w:cs="Arial"/>
          <w:sz w:val="22"/>
        </w:rPr>
      </w:pPr>
    </w:p>
    <w:p w:rsidR="0034530A" w:rsidRPr="0020723B" w:rsidRDefault="0034530A" w:rsidP="0034530A">
      <w:pPr>
        <w:pStyle w:val="Heading4"/>
        <w:spacing w:line="194" w:lineRule="auto"/>
        <w:ind w:left="1275" w:right="70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 id="docshape1443" o:spid="_x0000_s1028" type="#_x0000_t202" style="position:absolute;left:0;text-align:left;margin-left:56.7pt;margin-top:-9.5pt;width:45.4pt;height:45.4pt;z-index:251662336;mso-position-horizontal-relative:page" fillcolor="#bee3eb" stroked="f">
            <v:textbox inset="0,0,0,0">
              <w:txbxContent>
                <w:p w:rsidR="0034530A" w:rsidRDefault="0034530A" w:rsidP="0034530A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34530A" w:rsidRDefault="0034530A" w:rsidP="0034530A">
                  <w:pPr>
                    <w:ind w:left="233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PP</w:t>
                  </w:r>
                  <w:r>
                    <w:rPr>
                      <w:rFonts w:ascii="Arial Black"/>
                      <w:color w:val="072160"/>
                      <w:spacing w:val="-15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w w:val="85"/>
                      <w:sz w:val="24"/>
                    </w:rPr>
                    <w:t>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OKREŚLIŁ PROCEDURY WYMAGAJĄCE DODATKOWEJ ZGODY PACJENTA.</w:t>
      </w:r>
    </w:p>
    <w:p w:rsidR="0034530A" w:rsidRPr="0020723B" w:rsidRDefault="0034530A" w:rsidP="0034530A">
      <w:pPr>
        <w:pStyle w:val="Tekstpodstawowy"/>
        <w:spacing w:before="7"/>
        <w:rPr>
          <w:rFonts w:ascii="Calibri" w:hAnsi="Calibri" w:cs="Arial"/>
          <w:sz w:val="22"/>
        </w:rPr>
      </w:pPr>
    </w:p>
    <w:p w:rsidR="0034530A" w:rsidRPr="0020723B" w:rsidRDefault="0034530A" w:rsidP="0034530A">
      <w:pPr>
        <w:pStyle w:val="Heading6"/>
        <w:numPr>
          <w:ilvl w:val="0"/>
          <w:numId w:val="2"/>
        </w:numPr>
        <w:tabs>
          <w:tab w:val="left" w:pos="1275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34530A" w:rsidRPr="0020723B" w:rsidRDefault="0034530A" w:rsidP="0034530A">
      <w:pPr>
        <w:pStyle w:val="Tekstpodstawowy"/>
        <w:spacing w:before="218" w:line="247" w:lineRule="auto"/>
        <w:ind w:left="1275" w:right="70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Wymagane jest uzyskanie zgody pacjenta na udzielenie określon</w:t>
      </w:r>
      <w:r>
        <w:rPr>
          <w:rFonts w:ascii="Calibri" w:hAnsi="Calibri" w:cs="Arial"/>
          <w:sz w:val="22"/>
        </w:rPr>
        <w:t>ego świadczenia opieki zdrowot</w:t>
      </w:r>
      <w:r w:rsidRPr="0020723B">
        <w:rPr>
          <w:rFonts w:ascii="Calibri" w:hAnsi="Calibri" w:cs="Arial"/>
          <w:sz w:val="22"/>
        </w:rPr>
        <w:t>nej. Uzyskanie zgody w formie pisemnej jest istotne w przypadku procedur związanych z ryzykiem powikłań, takich jak operacje i zabiegi chirurgiczne, a także niektór</w:t>
      </w:r>
      <w:r>
        <w:rPr>
          <w:rFonts w:ascii="Calibri" w:hAnsi="Calibri" w:cs="Arial"/>
          <w:sz w:val="22"/>
        </w:rPr>
        <w:t>e zabiegi diagnostyczne i tera</w:t>
      </w:r>
      <w:r w:rsidRPr="0020723B">
        <w:rPr>
          <w:rFonts w:ascii="Calibri" w:hAnsi="Calibri" w:cs="Arial"/>
          <w:sz w:val="22"/>
        </w:rPr>
        <w:t>peutyczne, np. przetaczanie krwi i jej składników. Procedury wymagające uzyskania pisemnej zgody powinny być zatwierdzone przez kierownika szpitala.</w:t>
      </w:r>
    </w:p>
    <w:p w:rsidR="0034530A" w:rsidRPr="0020723B" w:rsidRDefault="0034530A" w:rsidP="0034530A">
      <w:pPr>
        <w:pStyle w:val="Tekstpodstawowy"/>
        <w:spacing w:before="4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Zasady uzyskiwania zgody na procedury powinny być ujednolicone w całym szpitalu i stosowane.</w:t>
      </w:r>
    </w:p>
    <w:p w:rsidR="0034530A" w:rsidRPr="0020723B" w:rsidRDefault="0034530A" w:rsidP="0034530A">
      <w:pPr>
        <w:pStyle w:val="Heading6"/>
        <w:numPr>
          <w:ilvl w:val="0"/>
          <w:numId w:val="2"/>
        </w:numPr>
        <w:tabs>
          <w:tab w:val="left" w:pos="1274"/>
        </w:tabs>
        <w:spacing w:before="172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34530A" w:rsidRPr="0020723B" w:rsidRDefault="0034530A" w:rsidP="0034530A">
      <w:pPr>
        <w:pStyle w:val="Akapitzlist"/>
        <w:numPr>
          <w:ilvl w:val="1"/>
          <w:numId w:val="2"/>
        </w:numPr>
        <w:tabs>
          <w:tab w:val="left" w:pos="1614"/>
        </w:tabs>
        <w:spacing w:before="205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34530A" w:rsidRPr="0020723B" w:rsidRDefault="0034530A" w:rsidP="0034530A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 szpitala;</w:t>
      </w:r>
    </w:p>
    <w:p w:rsidR="0034530A" w:rsidRPr="0020723B" w:rsidRDefault="0034530A" w:rsidP="0034530A">
      <w:pPr>
        <w:pStyle w:val="Akapitzlist"/>
        <w:numPr>
          <w:ilvl w:val="1"/>
          <w:numId w:val="2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34530A" w:rsidRPr="0020723B" w:rsidRDefault="0034530A" w:rsidP="0034530A">
      <w:pPr>
        <w:pStyle w:val="Heading6"/>
        <w:numPr>
          <w:ilvl w:val="0"/>
          <w:numId w:val="2"/>
        </w:numPr>
        <w:tabs>
          <w:tab w:val="left" w:pos="1274"/>
        </w:tabs>
        <w:spacing w:before="172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34530A" w:rsidRPr="0020723B" w:rsidRDefault="0034530A" w:rsidP="0034530A">
      <w:pPr>
        <w:pStyle w:val="Tekstpodstawowy"/>
        <w:tabs>
          <w:tab w:val="left" w:pos="1615"/>
        </w:tabs>
        <w:spacing w:before="205"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określił procedury wymagające pisemnej zgody pacjenta i są one stosowane zgodnie z wymogami standardu.</w:t>
      </w:r>
    </w:p>
    <w:p w:rsidR="0034530A" w:rsidRPr="0020723B" w:rsidRDefault="0034530A" w:rsidP="0034530A">
      <w:pPr>
        <w:pStyle w:val="Tekstpodstawowy"/>
        <w:tabs>
          <w:tab w:val="left" w:pos="1615"/>
        </w:tabs>
        <w:spacing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określił procedury wymagające pisemnej zgody pacjenta, jednak nie są one zawsze stosowane zgodnie z wymogami standardu.</w:t>
      </w:r>
    </w:p>
    <w:p w:rsidR="0034530A" w:rsidRPr="0020723B" w:rsidRDefault="0034530A" w:rsidP="0034530A">
      <w:pPr>
        <w:pStyle w:val="Tekstpodstawowy"/>
        <w:tabs>
          <w:tab w:val="left" w:pos="1615"/>
        </w:tabs>
        <w:spacing w:line="247" w:lineRule="auto"/>
        <w:ind w:left="1615" w:right="709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określił procedur wymagających pisemnej zgody pacjenta lub nie są one stosowane zgodnie z wymogami standardu.</w:t>
      </w:r>
    </w:p>
    <w:p w:rsidR="0034530A" w:rsidRPr="0020723B" w:rsidRDefault="0034530A" w:rsidP="0034530A">
      <w:pPr>
        <w:pStyle w:val="Heading9"/>
        <w:spacing w:before="207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34530A" w:rsidRPr="0020723B" w:rsidRDefault="0034530A" w:rsidP="0034530A">
      <w:pPr>
        <w:pStyle w:val="Tekstpodstawowy"/>
        <w:spacing w:before="228"/>
        <w:rPr>
          <w:rFonts w:ascii="Calibri" w:hAnsi="Calibri" w:cs="Arial"/>
          <w:sz w:val="22"/>
        </w:rPr>
      </w:pPr>
    </w:p>
    <w:p w:rsidR="00427D73" w:rsidRDefault="0034530A"/>
    <w:sectPr w:rsidR="00427D73" w:rsidSect="00F54E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880CDE"/>
    <w:multiLevelType w:val="hybridMultilevel"/>
    <w:tmpl w:val="84844FCC"/>
    <w:lvl w:ilvl="0" w:tplc="CC5C9D84">
      <w:start w:val="1"/>
      <w:numFmt w:val="decimal"/>
      <w:lvlText w:val="%1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55B45432">
      <w:numFmt w:val="bullet"/>
      <w:lvlText w:val="•"/>
      <w:lvlJc w:val="left"/>
      <w:pPr>
        <w:ind w:left="2954" w:hanging="344"/>
      </w:pPr>
      <w:rPr>
        <w:rFonts w:hint="default"/>
        <w:lang w:val="pl-PL" w:eastAsia="en-US" w:bidi="ar-SA"/>
      </w:rPr>
    </w:lvl>
    <w:lvl w:ilvl="2" w:tplc="5E3C9F92">
      <w:numFmt w:val="bullet"/>
      <w:lvlText w:val="•"/>
      <w:lvlJc w:val="left"/>
      <w:pPr>
        <w:ind w:left="3728" w:hanging="344"/>
      </w:pPr>
      <w:rPr>
        <w:rFonts w:hint="default"/>
        <w:lang w:val="pl-PL" w:eastAsia="en-US" w:bidi="ar-SA"/>
      </w:rPr>
    </w:lvl>
    <w:lvl w:ilvl="3" w:tplc="4A02B500">
      <w:numFmt w:val="bullet"/>
      <w:lvlText w:val="•"/>
      <w:lvlJc w:val="left"/>
      <w:pPr>
        <w:ind w:left="4502" w:hanging="344"/>
      </w:pPr>
      <w:rPr>
        <w:rFonts w:hint="default"/>
        <w:lang w:val="pl-PL" w:eastAsia="en-US" w:bidi="ar-SA"/>
      </w:rPr>
    </w:lvl>
    <w:lvl w:ilvl="4" w:tplc="332099E2">
      <w:numFmt w:val="bullet"/>
      <w:lvlText w:val="•"/>
      <w:lvlJc w:val="left"/>
      <w:pPr>
        <w:ind w:left="5276" w:hanging="344"/>
      </w:pPr>
      <w:rPr>
        <w:rFonts w:hint="default"/>
        <w:lang w:val="pl-PL" w:eastAsia="en-US" w:bidi="ar-SA"/>
      </w:rPr>
    </w:lvl>
    <w:lvl w:ilvl="5" w:tplc="DB70E006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6" w:tplc="F8046476">
      <w:numFmt w:val="bullet"/>
      <w:lvlText w:val="•"/>
      <w:lvlJc w:val="left"/>
      <w:pPr>
        <w:ind w:left="6824" w:hanging="344"/>
      </w:pPr>
      <w:rPr>
        <w:rFonts w:hint="default"/>
        <w:lang w:val="pl-PL" w:eastAsia="en-US" w:bidi="ar-SA"/>
      </w:rPr>
    </w:lvl>
    <w:lvl w:ilvl="7" w:tplc="84E0F098">
      <w:numFmt w:val="bullet"/>
      <w:lvlText w:val="•"/>
      <w:lvlJc w:val="left"/>
      <w:pPr>
        <w:ind w:left="7599" w:hanging="344"/>
      </w:pPr>
      <w:rPr>
        <w:rFonts w:hint="default"/>
        <w:lang w:val="pl-PL" w:eastAsia="en-US" w:bidi="ar-SA"/>
      </w:rPr>
    </w:lvl>
    <w:lvl w:ilvl="8" w:tplc="8558EDF4">
      <w:numFmt w:val="bullet"/>
      <w:lvlText w:val="•"/>
      <w:lvlJc w:val="left"/>
      <w:pPr>
        <w:ind w:left="8373" w:hanging="344"/>
      </w:pPr>
      <w:rPr>
        <w:rFonts w:hint="default"/>
        <w:lang w:val="pl-PL" w:eastAsia="en-US" w:bidi="ar-SA"/>
      </w:rPr>
    </w:lvl>
  </w:abstractNum>
  <w:abstractNum w:abstractNumId="1">
    <w:nsid w:val="79EA4EE4"/>
    <w:multiLevelType w:val="hybridMultilevel"/>
    <w:tmpl w:val="89CE1684"/>
    <w:lvl w:ilvl="0" w:tplc="3D0E977A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C3202558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0AACD76C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EA9870FA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99D626B8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B2FAD150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A584659C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68E6C36C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80DC1894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abstractNum w:abstractNumId="2">
    <w:nsid w:val="7B0D068B"/>
    <w:multiLevelType w:val="hybridMultilevel"/>
    <w:tmpl w:val="5422EF78"/>
    <w:lvl w:ilvl="0" w:tplc="6FB8543A">
      <w:start w:val="1"/>
      <w:numFmt w:val="decimal"/>
      <w:lvlText w:val="%1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B3101042">
      <w:numFmt w:val="bullet"/>
      <w:lvlText w:val="•"/>
      <w:lvlJc w:val="left"/>
      <w:pPr>
        <w:ind w:left="2954" w:hanging="344"/>
      </w:pPr>
      <w:rPr>
        <w:rFonts w:hint="default"/>
        <w:lang w:val="pl-PL" w:eastAsia="en-US" w:bidi="ar-SA"/>
      </w:rPr>
    </w:lvl>
    <w:lvl w:ilvl="2" w:tplc="1D6AD594">
      <w:numFmt w:val="bullet"/>
      <w:lvlText w:val="•"/>
      <w:lvlJc w:val="left"/>
      <w:pPr>
        <w:ind w:left="3728" w:hanging="344"/>
      </w:pPr>
      <w:rPr>
        <w:rFonts w:hint="default"/>
        <w:lang w:val="pl-PL" w:eastAsia="en-US" w:bidi="ar-SA"/>
      </w:rPr>
    </w:lvl>
    <w:lvl w:ilvl="3" w:tplc="4F38A7F0">
      <w:numFmt w:val="bullet"/>
      <w:lvlText w:val="•"/>
      <w:lvlJc w:val="left"/>
      <w:pPr>
        <w:ind w:left="4502" w:hanging="344"/>
      </w:pPr>
      <w:rPr>
        <w:rFonts w:hint="default"/>
        <w:lang w:val="pl-PL" w:eastAsia="en-US" w:bidi="ar-SA"/>
      </w:rPr>
    </w:lvl>
    <w:lvl w:ilvl="4" w:tplc="4F52915A">
      <w:numFmt w:val="bullet"/>
      <w:lvlText w:val="•"/>
      <w:lvlJc w:val="left"/>
      <w:pPr>
        <w:ind w:left="5276" w:hanging="344"/>
      </w:pPr>
      <w:rPr>
        <w:rFonts w:hint="default"/>
        <w:lang w:val="pl-PL" w:eastAsia="en-US" w:bidi="ar-SA"/>
      </w:rPr>
    </w:lvl>
    <w:lvl w:ilvl="5" w:tplc="C7385A94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6" w:tplc="6C50AE1A">
      <w:numFmt w:val="bullet"/>
      <w:lvlText w:val="•"/>
      <w:lvlJc w:val="left"/>
      <w:pPr>
        <w:ind w:left="6824" w:hanging="344"/>
      </w:pPr>
      <w:rPr>
        <w:rFonts w:hint="default"/>
        <w:lang w:val="pl-PL" w:eastAsia="en-US" w:bidi="ar-SA"/>
      </w:rPr>
    </w:lvl>
    <w:lvl w:ilvl="7" w:tplc="86025C20">
      <w:numFmt w:val="bullet"/>
      <w:lvlText w:val="•"/>
      <w:lvlJc w:val="left"/>
      <w:pPr>
        <w:ind w:left="7599" w:hanging="344"/>
      </w:pPr>
      <w:rPr>
        <w:rFonts w:hint="default"/>
        <w:lang w:val="pl-PL" w:eastAsia="en-US" w:bidi="ar-SA"/>
      </w:rPr>
    </w:lvl>
    <w:lvl w:ilvl="8" w:tplc="B7024A68">
      <w:numFmt w:val="bullet"/>
      <w:lvlText w:val="•"/>
      <w:lvlJc w:val="left"/>
      <w:pPr>
        <w:ind w:left="8373" w:hanging="344"/>
      </w:pPr>
      <w:rPr>
        <w:rFonts w:hint="default"/>
        <w:lang w:val="pl-PL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34530A"/>
    <w:rsid w:val="000745AD"/>
    <w:rsid w:val="0034530A"/>
    <w:rsid w:val="00682510"/>
    <w:rsid w:val="00F54E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34530A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34530A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34530A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34530A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34530A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34530A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34530A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678</Words>
  <Characters>4072</Characters>
  <Application>Microsoft Office Word</Application>
  <DocSecurity>0</DocSecurity>
  <Lines>33</Lines>
  <Paragraphs>9</Paragraphs>
  <ScaleCrop>false</ScaleCrop>
  <Company/>
  <LinksUpToDate>false</LinksUpToDate>
  <CharactersWithSpaces>4741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2025-07-30T07:11:00Z</dcterms:created>
  <dcterms:modified xsi:type="dcterms:W3CDTF">2025-07-30T07:11:00Z</dcterms:modified>
</cp:coreProperties>
</file>