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2BA" w:rsidRPr="0020723B" w:rsidRDefault="001A32BA" w:rsidP="001A32BA">
      <w:pPr>
        <w:pStyle w:val="Tekstpodstawowy"/>
        <w:spacing w:before="333"/>
        <w:rPr>
          <w:rFonts w:ascii="Calibri" w:hAnsi="Calibri" w:cs="Arial"/>
          <w:sz w:val="22"/>
        </w:rPr>
      </w:pPr>
    </w:p>
    <w:p w:rsidR="001A32BA" w:rsidRPr="0020723B" w:rsidRDefault="001A32BA" w:rsidP="001A32BA">
      <w:pPr>
        <w:pStyle w:val="Heading4"/>
        <w:spacing w:line="194" w:lineRule="auto"/>
        <w:ind w:left="1275" w:right="14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57" o:spid="_x0000_s1026" type="#_x0000_t202" style="position:absolute;left:0;text-align:left;margin-left:56.7pt;margin-top:-10.4pt;width:45.4pt;height:63.1pt;z-index:251660288;mso-position-horizontal-relative:page" fillcolor="#bee3eb" stroked="f">
            <v:textbox inset="0,0,0,0">
              <w:txbxContent>
                <w:p w:rsidR="001A32BA" w:rsidRDefault="001A32BA" w:rsidP="001A32BA">
                  <w:pPr>
                    <w:pStyle w:val="Tekstpodstawowy"/>
                    <w:spacing w:before="194"/>
                    <w:rPr>
                      <w:color w:val="000000"/>
                      <w:sz w:val="24"/>
                    </w:rPr>
                  </w:pPr>
                </w:p>
                <w:p w:rsidR="001A32BA" w:rsidRDefault="001A32BA" w:rsidP="001A32BA">
                  <w:pPr>
                    <w:ind w:left="20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MOŻLIWOŚĆ UCZESTNICZENIA W PROCESIE OPIEKI OSOBOM BLISKIM LUB</w:t>
      </w:r>
    </w:p>
    <w:p w:rsidR="001A32BA" w:rsidRPr="0020723B" w:rsidRDefault="001A32BA" w:rsidP="001A32BA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PRZEDSTAWICIELOM USTAWOWYM PACJENTA.</w:t>
      </w:r>
    </w:p>
    <w:p w:rsidR="001A32BA" w:rsidRPr="0020723B" w:rsidRDefault="001A32BA" w:rsidP="001A32BA">
      <w:pPr>
        <w:pStyle w:val="Heading6"/>
        <w:numPr>
          <w:ilvl w:val="0"/>
          <w:numId w:val="1"/>
        </w:numPr>
        <w:tabs>
          <w:tab w:val="left" w:pos="1275"/>
        </w:tabs>
        <w:spacing w:before="288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A32BA" w:rsidRPr="0020723B" w:rsidRDefault="001A32BA" w:rsidP="001A32BA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zapewnia możliwość obecności osób bliskich lub przedstawicieli ustawowych pacjenta, zgodnie z przepisami ustawy o prawach pacjenta, gdyż zwiększa to poczucie bezpieczeństwa chorego, ułatwia adaptację w odmiennym środowisku, pozwala na lepsze zaspokajanie potrzeb pacjenta w warunkach szpitalnych.</w:t>
      </w:r>
    </w:p>
    <w:p w:rsidR="001A32BA" w:rsidRPr="0020723B" w:rsidRDefault="001A32BA" w:rsidP="001A32BA">
      <w:pPr>
        <w:pStyle w:val="Tekstpodstawowy"/>
        <w:spacing w:before="3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Włączenie osoby bliskiej lub przedstawiciela ustawowego pacje</w:t>
      </w:r>
      <w:r>
        <w:rPr>
          <w:rFonts w:ascii="Calibri" w:hAnsi="Calibri" w:cs="Arial"/>
          <w:sz w:val="22"/>
        </w:rPr>
        <w:t>nta w sprawowanie opieki powin</w:t>
      </w:r>
      <w:r w:rsidRPr="0020723B">
        <w:rPr>
          <w:rFonts w:ascii="Calibri" w:hAnsi="Calibri" w:cs="Arial"/>
          <w:sz w:val="22"/>
        </w:rPr>
        <w:t>no być możliwie najszersze, lecz nieobciążające innych pacjentów. Oddziały szpitalne powinny określić zakres opieki, jaką może świadczyć osoba bliska czy przedstawiciel ustawowy pacjenta. Z konieczności zapewniania możliwości udziału w opiece osób bli</w:t>
      </w:r>
      <w:r>
        <w:rPr>
          <w:rFonts w:ascii="Calibri" w:hAnsi="Calibri" w:cs="Arial"/>
          <w:sz w:val="22"/>
        </w:rPr>
        <w:t>skich lub przedstawicieli usta</w:t>
      </w:r>
      <w:r w:rsidRPr="0020723B">
        <w:rPr>
          <w:rFonts w:ascii="Calibri" w:hAnsi="Calibri" w:cs="Arial"/>
          <w:sz w:val="22"/>
        </w:rPr>
        <w:t>wowych wyłączone są oddziały intensywnej terapii i wzmożonego nadzoru.</w:t>
      </w:r>
    </w:p>
    <w:p w:rsidR="001A32BA" w:rsidRPr="0020723B" w:rsidRDefault="001A32BA" w:rsidP="001A32BA">
      <w:pPr>
        <w:pStyle w:val="Tekstpodstawowy"/>
        <w:spacing w:before="4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Informacja o zasadach i zakresie opieki nad chorym powinna być dostępna w obszarach pobytu pacjentów i aktualizowana na stronie internetowej szpitala.</w:t>
      </w:r>
    </w:p>
    <w:p w:rsidR="001A32BA" w:rsidRPr="0020723B" w:rsidRDefault="001A32BA" w:rsidP="001A32BA">
      <w:pPr>
        <w:pStyle w:val="Tekstpodstawowy"/>
        <w:spacing w:before="173"/>
        <w:rPr>
          <w:rFonts w:ascii="Calibri" w:hAnsi="Calibri" w:cs="Arial"/>
          <w:sz w:val="22"/>
        </w:rPr>
      </w:pPr>
    </w:p>
    <w:p w:rsidR="001A32BA" w:rsidRPr="0020723B" w:rsidRDefault="001A32BA" w:rsidP="001A32BA">
      <w:pPr>
        <w:pStyle w:val="Heading6"/>
        <w:numPr>
          <w:ilvl w:val="0"/>
          <w:numId w:val="1"/>
        </w:numPr>
        <w:tabs>
          <w:tab w:val="left" w:pos="1274"/>
        </w:tabs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 lub osobami bliskimi lub przedstawicielami ustawowymi pacjenta;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1A32BA" w:rsidRPr="0020723B" w:rsidRDefault="001A32BA" w:rsidP="001A32BA">
      <w:pPr>
        <w:pStyle w:val="Tekstpodstawowy"/>
        <w:spacing w:before="179"/>
        <w:rPr>
          <w:rFonts w:ascii="Calibri" w:hAnsi="Calibri" w:cs="Arial"/>
          <w:sz w:val="22"/>
        </w:rPr>
      </w:pPr>
    </w:p>
    <w:p w:rsidR="001A32BA" w:rsidRPr="0020723B" w:rsidRDefault="001A32BA" w:rsidP="001A32BA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A32BA" w:rsidRPr="0020723B" w:rsidRDefault="001A32BA" w:rsidP="001A32BA">
      <w:pPr>
        <w:pStyle w:val="Tekstpodstawowy"/>
        <w:spacing w:before="205" w:line="247" w:lineRule="auto"/>
        <w:ind w:left="1615" w:right="70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 w:rsidRPr="0020723B">
        <w:rPr>
          <w:rFonts w:ascii="Calibri" w:hAnsi="Calibri" w:cs="Arial"/>
          <w:sz w:val="22"/>
        </w:rPr>
        <w:t xml:space="preserve">Szpital zapewnia możliwość uczestniczenia w procesie opieki osobom bliskim lub </w:t>
      </w:r>
      <w:r>
        <w:rPr>
          <w:rFonts w:ascii="Calibri" w:hAnsi="Calibri" w:cs="Arial"/>
          <w:sz w:val="22"/>
        </w:rPr>
        <w:t>przedsta</w:t>
      </w:r>
      <w:r w:rsidRPr="0020723B">
        <w:rPr>
          <w:rFonts w:ascii="Calibri" w:hAnsi="Calibri" w:cs="Arial"/>
          <w:sz w:val="22"/>
        </w:rPr>
        <w:t>wicielom ustawowym pacjenta zgodnie z wymogami standardu i informacja na ten temat jest aktualna oraz dostępna na terenie oddziału oraz na stronie internetowej szpitala.</w:t>
      </w:r>
    </w:p>
    <w:p w:rsidR="001A32BA" w:rsidRPr="0020723B" w:rsidRDefault="001A32BA" w:rsidP="001A32BA">
      <w:pPr>
        <w:pStyle w:val="Tekstpodstawowy"/>
        <w:spacing w:line="247" w:lineRule="auto"/>
        <w:ind w:left="1615" w:right="70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3  </w:t>
      </w:r>
      <w:r w:rsidRPr="0020723B">
        <w:rPr>
          <w:rFonts w:ascii="Calibri" w:hAnsi="Calibri" w:cs="Arial"/>
          <w:sz w:val="22"/>
        </w:rPr>
        <w:t>Szpital zapewnia możliwość uczestniczenia w procesie opieki nie w pełni zgodnie z wymogami standardu (60% kamieni milowych jest spełnionych).</w:t>
      </w:r>
    </w:p>
    <w:p w:rsidR="001A32BA" w:rsidRPr="0020723B" w:rsidRDefault="001A32BA" w:rsidP="001A32BA">
      <w:pPr>
        <w:pStyle w:val="Tekstpodstawowy"/>
        <w:spacing w:line="247" w:lineRule="auto"/>
        <w:ind w:left="1615" w:right="70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 xml:space="preserve">Szpital nie zapewnia możliwości uczestniczenia w procesie opieki osobom bliskim lub </w:t>
      </w:r>
      <w:r>
        <w:rPr>
          <w:rFonts w:ascii="Calibri" w:hAnsi="Calibri" w:cs="Arial"/>
          <w:sz w:val="22"/>
        </w:rPr>
        <w:t>przed</w:t>
      </w:r>
      <w:r w:rsidRPr="0020723B">
        <w:rPr>
          <w:rFonts w:ascii="Calibri" w:hAnsi="Calibri" w:cs="Arial"/>
          <w:sz w:val="22"/>
        </w:rPr>
        <w:t>stawicielom ustawowym pacjenta lub opracowane zasady nie są stosowane w pełnym zakresie lub informacja na ten temat nie jest dostępna dla pacjentów.</w:t>
      </w:r>
    </w:p>
    <w:p w:rsidR="001A32BA" w:rsidRPr="0020723B" w:rsidRDefault="001A32BA" w:rsidP="001A32BA">
      <w:pPr>
        <w:pStyle w:val="Heading6"/>
        <w:numPr>
          <w:ilvl w:val="0"/>
          <w:numId w:val="1"/>
        </w:numPr>
        <w:tabs>
          <w:tab w:val="left" w:pos="1275"/>
        </w:tabs>
        <w:spacing w:before="145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opracowano zasady uczestnictwa przedstawiciela ustawowego lub osób bliskich w procesie opieki nad pacjentem;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4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te są dostosowane do specyfiki poszczególnych oddziałów;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wykazane są konkretne czynności, które są możliwe do wykonywania przez przedstawiciela ustawowego lub osoby bliskie;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wykazane są konkretne czynności, które są rekomendowane do </w:t>
      </w:r>
      <w:r w:rsidRPr="0020723B">
        <w:rPr>
          <w:rFonts w:ascii="Calibri" w:hAnsi="Calibri" w:cs="Arial"/>
          <w:szCs w:val="20"/>
        </w:rPr>
        <w:lastRenderedPageBreak/>
        <w:t xml:space="preserve">wykonywania przez </w:t>
      </w:r>
      <w:r>
        <w:rPr>
          <w:rFonts w:ascii="Calibri" w:hAnsi="Calibri" w:cs="Arial"/>
          <w:szCs w:val="20"/>
        </w:rPr>
        <w:t>przed</w:t>
      </w:r>
      <w:r w:rsidRPr="0020723B">
        <w:rPr>
          <w:rFonts w:ascii="Calibri" w:hAnsi="Calibri" w:cs="Arial"/>
          <w:szCs w:val="20"/>
        </w:rPr>
        <w:t>stawiciela ustawowego lub osoby bliskie;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wykazane są konkretne czynności, które są zakazane do wykonywania przez przedstawiciela ustawowego lub osoby bliskie;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uczestnictwa przedstawiciela ustawowego lub osób bliskich w procesie opieki nad pacjentem dostępne są na oddziałach;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uczestnictwa przedstawiciela ustawowego lub osób bliskich w procesie opieki nad pacjentem dostępne są na stronie internetowej szpitala;</w:t>
      </w:r>
    </w:p>
    <w:p w:rsidR="001A32BA" w:rsidRPr="0020723B" w:rsidRDefault="001A32BA" w:rsidP="001A32BA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uczestnictwa przedstawiciela ustawowego lub osób bliskich w procesie opieki nad pacjentem są aktualizowane na stronie internetowej szpitala, np. w kontekście przejściowej sytuacji epidemiologicznej oddziału.</w:t>
      </w:r>
    </w:p>
    <w:p w:rsidR="001A32BA" w:rsidRPr="0020723B" w:rsidRDefault="001A32BA" w:rsidP="001A32BA">
      <w:pPr>
        <w:pStyle w:val="Tekstpodstawowy"/>
        <w:spacing w:before="91"/>
        <w:ind w:left="1842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458" o:spid="_x0000_s1027" type="#_x0000_t202" style="position:absolute;left:0;text-align:left;margin-left:568.95pt;margin-top:43.9pt;width:24.4pt;height:48.4pt;z-index:251661312;mso-position-horizontal-relative:page;mso-position-vertical-relative:page" filled="f" stroked="f">
            <v:textbox style="layout-flow:vertical" inset="0,0,0,0">
              <w:txbxContent>
                <w:p w:rsidR="001A32BA" w:rsidRDefault="001A32BA" w:rsidP="001A32BA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PP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 w:val="22"/>
        </w:rPr>
        <w:t>Co najmniej 60% stanowi 5 kamieni milowych.</w:t>
      </w:r>
    </w:p>
    <w:p w:rsidR="001A32BA" w:rsidRPr="0020723B" w:rsidRDefault="001A32BA" w:rsidP="001A32BA">
      <w:pPr>
        <w:pStyle w:val="Tekstpodstawowy"/>
        <w:spacing w:before="3"/>
        <w:rPr>
          <w:rFonts w:ascii="Calibri" w:hAnsi="Calibri" w:cs="Arial"/>
          <w:sz w:val="22"/>
        </w:rPr>
      </w:pPr>
    </w:p>
    <w:p w:rsidR="001A32BA" w:rsidRPr="0020723B" w:rsidRDefault="001A32BA" w:rsidP="001A32BA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1A32BA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C97A1D"/>
    <w:multiLevelType w:val="hybridMultilevel"/>
    <w:tmpl w:val="DF2AFC2A"/>
    <w:lvl w:ilvl="0" w:tplc="76480D6A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2FE909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EF03D58">
      <w:start w:val="1"/>
      <w:numFmt w:val="decimal"/>
      <w:lvlText w:val="%3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C102DFA0">
      <w:numFmt w:val="bullet"/>
      <w:lvlText w:val="•"/>
      <w:lvlJc w:val="left"/>
      <w:pPr>
        <w:ind w:left="2850" w:hanging="329"/>
      </w:pPr>
      <w:rPr>
        <w:rFonts w:hint="default"/>
        <w:lang w:val="pl-PL" w:eastAsia="en-US" w:bidi="ar-SA"/>
      </w:rPr>
    </w:lvl>
    <w:lvl w:ilvl="4" w:tplc="88CEE358">
      <w:numFmt w:val="bullet"/>
      <w:lvlText w:val="•"/>
      <w:lvlJc w:val="left"/>
      <w:pPr>
        <w:ind w:left="3860" w:hanging="329"/>
      </w:pPr>
      <w:rPr>
        <w:rFonts w:hint="default"/>
        <w:lang w:val="pl-PL" w:eastAsia="en-US" w:bidi="ar-SA"/>
      </w:rPr>
    </w:lvl>
    <w:lvl w:ilvl="5" w:tplc="2A4E3DD4">
      <w:numFmt w:val="bullet"/>
      <w:lvlText w:val="•"/>
      <w:lvlJc w:val="left"/>
      <w:pPr>
        <w:ind w:left="4870" w:hanging="329"/>
      </w:pPr>
      <w:rPr>
        <w:rFonts w:hint="default"/>
        <w:lang w:val="pl-PL" w:eastAsia="en-US" w:bidi="ar-SA"/>
      </w:rPr>
    </w:lvl>
    <w:lvl w:ilvl="6" w:tplc="3C6EBAB8">
      <w:numFmt w:val="bullet"/>
      <w:lvlText w:val="•"/>
      <w:lvlJc w:val="left"/>
      <w:pPr>
        <w:ind w:left="5880" w:hanging="329"/>
      </w:pPr>
      <w:rPr>
        <w:rFonts w:hint="default"/>
        <w:lang w:val="pl-PL" w:eastAsia="en-US" w:bidi="ar-SA"/>
      </w:rPr>
    </w:lvl>
    <w:lvl w:ilvl="7" w:tplc="AD7AC12C">
      <w:numFmt w:val="bullet"/>
      <w:lvlText w:val="•"/>
      <w:lvlJc w:val="left"/>
      <w:pPr>
        <w:ind w:left="6890" w:hanging="329"/>
      </w:pPr>
      <w:rPr>
        <w:rFonts w:hint="default"/>
        <w:lang w:val="pl-PL" w:eastAsia="en-US" w:bidi="ar-SA"/>
      </w:rPr>
    </w:lvl>
    <w:lvl w:ilvl="8" w:tplc="6D12B0E8">
      <w:numFmt w:val="bullet"/>
      <w:lvlText w:val="•"/>
      <w:lvlJc w:val="left"/>
      <w:pPr>
        <w:ind w:left="7901" w:hanging="329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A32BA"/>
    <w:rsid w:val="000745AD"/>
    <w:rsid w:val="001A32BA"/>
    <w:rsid w:val="00682510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A32B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A32B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A32B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A32B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A32B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A32B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A32B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2025-07-30T07:21:00Z</dcterms:created>
  <dcterms:modified xsi:type="dcterms:W3CDTF">2025-07-30T07:21:00Z</dcterms:modified>
</cp:coreProperties>
</file>